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8238B3" w14:textId="1BC3DA99" w:rsidR="003261D1" w:rsidRDefault="003261D1" w:rsidP="00FD26D2">
      <w:pPr>
        <w:pStyle w:val="berschrift"/>
      </w:pPr>
      <w:r>
        <w:t>Darreichungsform</w:t>
      </w:r>
    </w:p>
    <w:p w14:paraId="5760B7F4" w14:textId="77777777" w:rsidR="00367846" w:rsidRDefault="005E423E">
      <w:r>
        <w:t>Tücher</w:t>
      </w:r>
    </w:p>
    <w:p w14:paraId="39C61A85" w14:textId="12B91D30" w:rsidR="003261D1" w:rsidRDefault="003261D1" w:rsidP="00FD26D2">
      <w:pPr>
        <w:pStyle w:val="berschrift"/>
      </w:pPr>
      <w:r>
        <w:t>Packungsgröße</w:t>
      </w:r>
    </w:p>
    <w:p w14:paraId="347DE33C" w14:textId="77777777" w:rsidR="00367846" w:rsidRDefault="005E423E">
      <w:r>
        <w:t>60 Stück</w:t>
      </w:r>
    </w:p>
    <w:p w14:paraId="7FF444F1" w14:textId="4D7902C8" w:rsidR="003261D1" w:rsidRDefault="003261D1" w:rsidP="00FD26D2">
      <w:pPr>
        <w:pStyle w:val="berschrift"/>
      </w:pPr>
      <w:r>
        <w:t>Produktname</w:t>
      </w:r>
    </w:p>
    <w:p w14:paraId="5C83353C" w14:textId="1DB0FF76" w:rsidR="00367846" w:rsidRDefault="00446C54">
      <w:r>
        <w:t xml:space="preserve">PARAM </w:t>
      </w:r>
      <w:r w:rsidR="00A17FD8" w:rsidRPr="00A17FD8">
        <w:t>Desinfektionstücher Hände &amp; Fläche Lotion 2</w:t>
      </w:r>
      <w:r>
        <w:t xml:space="preserve"> </w:t>
      </w:r>
      <w:r w:rsidR="00A17FD8" w:rsidRPr="00A17FD8">
        <w:t>in</w:t>
      </w:r>
      <w:r>
        <w:t xml:space="preserve"> </w:t>
      </w:r>
      <w:r w:rsidR="00A17FD8" w:rsidRPr="00A17FD8">
        <w:t>1</w:t>
      </w:r>
    </w:p>
    <w:p w14:paraId="5905CF94" w14:textId="7EDAC459" w:rsidR="003261D1" w:rsidRDefault="003261D1" w:rsidP="00FD26D2">
      <w:pPr>
        <w:pStyle w:val="berschrift"/>
      </w:pPr>
      <w:r>
        <w:t>PZN</w:t>
      </w:r>
    </w:p>
    <w:p w14:paraId="309E20BB" w14:textId="77777777" w:rsidR="00367846" w:rsidRDefault="005E423E">
      <w:r>
        <w:t>19139611</w:t>
      </w:r>
    </w:p>
    <w:p w14:paraId="4EF94EAF" w14:textId="2C38C8A8" w:rsidR="003261D1" w:rsidRDefault="003261D1" w:rsidP="008556EA">
      <w:pPr>
        <w:pStyle w:val="berschrift"/>
      </w:pPr>
      <w:r>
        <w:t>Beschreibung = Marketingtext zum Produkt</w:t>
      </w:r>
    </w:p>
    <w:p w14:paraId="3D5A68EC" w14:textId="7D2BEB69" w:rsidR="00367846" w:rsidRDefault="005E423E">
      <w:r>
        <w:t>Die Desinfektionstücher Hände &amp; Fläche Lotion 2</w:t>
      </w:r>
      <w:r w:rsidR="00446C54">
        <w:t xml:space="preserve"> </w:t>
      </w:r>
      <w:r>
        <w:t>in</w:t>
      </w:r>
      <w:r w:rsidR="00446C54">
        <w:t xml:space="preserve"> </w:t>
      </w:r>
      <w:r>
        <w:t>1 desinfizieren Hände und Flächen in nur einem Tuch – ohne Parf</w:t>
      </w:r>
      <w:r w:rsidR="00446C54">
        <w:t>u</w:t>
      </w:r>
      <w:r>
        <w:t>m und ohne Alkohol. Die gebrauchsfertigen Tücher sind praktisch in der Anwendung und überall dort einsetzbar, wo schnelle und zuverlässige Desinfektion gefragt ist.</w:t>
      </w:r>
    </w:p>
    <w:p w14:paraId="5077E80C" w14:textId="77777777" w:rsidR="00367846" w:rsidRDefault="005E423E">
      <w:pPr>
        <w:pStyle w:val="Listenabsatz"/>
        <w:numPr>
          <w:ilvl w:val="0"/>
          <w:numId w:val="1"/>
        </w:numPr>
      </w:pPr>
      <w:r>
        <w:t>Desinfiziert Hände und Flächen</w:t>
      </w:r>
    </w:p>
    <w:p w14:paraId="230DE4AF" w14:textId="41DFF1E8" w:rsidR="00367846" w:rsidRDefault="005E423E">
      <w:pPr>
        <w:pStyle w:val="Listenabsatz"/>
        <w:numPr>
          <w:ilvl w:val="0"/>
          <w:numId w:val="1"/>
        </w:numPr>
      </w:pPr>
      <w:r>
        <w:t>Ohne Parf</w:t>
      </w:r>
      <w:r w:rsidR="00446C54">
        <w:t>u</w:t>
      </w:r>
      <w:r>
        <w:t>m und Alkohol</w:t>
      </w:r>
    </w:p>
    <w:p w14:paraId="670ADC9F" w14:textId="77777777" w:rsidR="00367846" w:rsidRDefault="005E423E">
      <w:pPr>
        <w:pStyle w:val="Listenabsatz"/>
        <w:numPr>
          <w:ilvl w:val="0"/>
          <w:numId w:val="1"/>
        </w:numPr>
      </w:pPr>
      <w:r>
        <w:t>Gebrauchsfertige Tücher aus extra weichem Vlies</w:t>
      </w:r>
    </w:p>
    <w:p w14:paraId="26BEB1CE" w14:textId="77777777" w:rsidR="00367846" w:rsidRDefault="005E423E">
      <w:pPr>
        <w:pStyle w:val="Listenabsatz"/>
        <w:numPr>
          <w:ilvl w:val="0"/>
          <w:numId w:val="1"/>
        </w:numPr>
      </w:pPr>
      <w:r>
        <w:t>Gute Benetzung, schnelle Auftrocknung</w:t>
      </w:r>
    </w:p>
    <w:p w14:paraId="7CB7F0D7" w14:textId="77777777" w:rsidR="00367846" w:rsidRDefault="005E423E">
      <w:pPr>
        <w:pStyle w:val="Listenabsatz"/>
        <w:numPr>
          <w:ilvl w:val="0"/>
          <w:numId w:val="1"/>
        </w:numPr>
      </w:pPr>
      <w:r>
        <w:t>Bakterizid (inkl. MRSA), levurozid, begrenzt viruzid (inkl. HBV, HIV, HCV, Vaccinia-, Influenza- und Corona-Viren)</w:t>
      </w:r>
    </w:p>
    <w:p w14:paraId="379F7379" w14:textId="77777777" w:rsidR="00367846" w:rsidRDefault="005E423E">
      <w:pPr>
        <w:pStyle w:val="Listenabsatz"/>
        <w:numPr>
          <w:ilvl w:val="0"/>
          <w:numId w:val="1"/>
        </w:numPr>
      </w:pPr>
      <w:r>
        <w:t>Einwirkzeit: 1 Minute</w:t>
      </w:r>
    </w:p>
    <w:p w14:paraId="4D4C7B52" w14:textId="7D6C3BA0" w:rsidR="003261D1" w:rsidRDefault="003261D1" w:rsidP="00FD26D2">
      <w:pPr>
        <w:pStyle w:val="berschrift"/>
      </w:pPr>
      <w:r>
        <w:t>Wirkstoff</w:t>
      </w:r>
    </w:p>
    <w:p w14:paraId="7B1DBD19" w14:textId="77777777" w:rsidR="00367846" w:rsidRDefault="005E423E">
      <w:r>
        <w:t>Didecyldimethylammoniumchlorid, 2-Phenoxyethanol</w:t>
      </w:r>
    </w:p>
    <w:p w14:paraId="0A23DA46" w14:textId="7BF9F54F" w:rsidR="003261D1" w:rsidRDefault="003261D1" w:rsidP="00FD26D2">
      <w:pPr>
        <w:pStyle w:val="berschrift"/>
      </w:pPr>
      <w:r>
        <w:t>Zusammensetzung</w:t>
      </w:r>
    </w:p>
    <w:p w14:paraId="3EEC679C" w14:textId="77777777" w:rsidR="00367846" w:rsidRDefault="005E423E">
      <w:r>
        <w:t>Zusammensetzung der Tränklösung. In 100 g Tränklösung sind als Wirkstoffe enthalten:</w:t>
      </w:r>
    </w:p>
    <w:p w14:paraId="0E4FAB82" w14:textId="77777777" w:rsidR="00367846" w:rsidRDefault="005E423E">
      <w:pPr>
        <w:pStyle w:val="Listenabsatz"/>
        <w:numPr>
          <w:ilvl w:val="0"/>
          <w:numId w:val="1"/>
        </w:numPr>
      </w:pPr>
      <w:r>
        <w:t>0,8 g Didecyldimethylammoniumchlorid</w:t>
      </w:r>
    </w:p>
    <w:p w14:paraId="217359EB" w14:textId="77777777" w:rsidR="00367846" w:rsidRDefault="005E423E">
      <w:pPr>
        <w:pStyle w:val="Listenabsatz"/>
        <w:numPr>
          <w:ilvl w:val="0"/>
          <w:numId w:val="1"/>
        </w:numPr>
      </w:pPr>
      <w:r>
        <w:t>0,5 g 2-Phenoxyethanol</w:t>
      </w:r>
    </w:p>
    <w:p w14:paraId="1C796EF9" w14:textId="50747B25" w:rsidR="003261D1" w:rsidRDefault="003261D1" w:rsidP="00FD26D2">
      <w:pPr>
        <w:pStyle w:val="berschrift"/>
      </w:pPr>
      <w:r>
        <w:t>Sonstige Bestandteile</w:t>
      </w:r>
    </w:p>
    <w:p w14:paraId="3177C7C5" w14:textId="0EE7AF7C" w:rsidR="003261D1" w:rsidRPr="00AA7C7B" w:rsidRDefault="00AA7C7B" w:rsidP="006E6B4A">
      <w:r w:rsidRPr="00AA7C7B">
        <w:t>Sonstige Bestandteile sind nicht deklariert.</w:t>
      </w:r>
    </w:p>
    <w:p w14:paraId="021B2340" w14:textId="140338CE" w:rsidR="003261D1" w:rsidRDefault="003261D1" w:rsidP="006E6B4A">
      <w:pPr>
        <w:pStyle w:val="berschrift"/>
      </w:pPr>
      <w:r>
        <w:t>Anwendungsgebiet/Indikation</w:t>
      </w:r>
    </w:p>
    <w:p w14:paraId="614D4EFB" w14:textId="77777777" w:rsidR="00367846" w:rsidRDefault="005E423E">
      <w:r>
        <w:t>Desinfektion von Händen und Flächen.</w:t>
      </w:r>
    </w:p>
    <w:p w14:paraId="40937020" w14:textId="1D0D2017" w:rsidR="003261D1" w:rsidRDefault="003261D1" w:rsidP="006E6B4A">
      <w:pPr>
        <w:pStyle w:val="berschrift"/>
      </w:pPr>
      <w:r>
        <w:t>Art der Anwendung</w:t>
      </w:r>
    </w:p>
    <w:p w14:paraId="6DDBDF61" w14:textId="77777777" w:rsidR="00367846" w:rsidRDefault="005E423E">
      <w:r>
        <w:t>Händedesinfektion: Vor der Desinfektion stark verschmutzte Hände reinigen. Die trockenen Hände mit dem feuchten Tuch benetzen und über die gesamte Einwirkzeit feucht halten, gegebenenfalls ein weiteres Tuch verwenden.</w:t>
      </w:r>
    </w:p>
    <w:p w14:paraId="2715712B" w14:textId="77777777" w:rsidR="00367846" w:rsidRDefault="005E423E">
      <w:r>
        <w:t>Flächendesinfektion: Vor der Desinfektion stark verschmutzte Flächen reinigen. Die Fläche vollständig benetzen und gegebenenfalls mit einem zweiten Tuch nachwischen. Die Fläche muss während der gesamten Einwirkzeit feucht gehalten werden. Die Einwirkzeiten beachten.</w:t>
      </w:r>
    </w:p>
    <w:p w14:paraId="3F6FF0BB" w14:textId="2BC72908" w:rsidR="003261D1" w:rsidRDefault="003261D1" w:rsidP="006E6B4A">
      <w:pPr>
        <w:pStyle w:val="berschrift"/>
      </w:pPr>
      <w:r>
        <w:lastRenderedPageBreak/>
        <w:t>Dauer der Anwendung</w:t>
      </w:r>
    </w:p>
    <w:p w14:paraId="7CA34BDE" w14:textId="67B998C1" w:rsidR="00367846" w:rsidRDefault="005E423E">
      <w:r>
        <w:t>Einwirkzeit 1 Minute (bakterizid, levurozid und begrenzt viruzid [</w:t>
      </w:r>
      <w:proofErr w:type="spellStart"/>
      <w:r>
        <w:t>Modified</w:t>
      </w:r>
      <w:proofErr w:type="spellEnd"/>
      <w:r>
        <w:t xml:space="preserve"> </w:t>
      </w:r>
      <w:proofErr w:type="spellStart"/>
      <w:r>
        <w:t>Vaccinia</w:t>
      </w:r>
      <w:proofErr w:type="spellEnd"/>
      <w:r>
        <w:t xml:space="preserve"> Ankara] bei niedriger Belastung; Normen: EN 13727, EN 16615, EN 13624, EN 14476, an der Tränklösung getestet)</w:t>
      </w:r>
    </w:p>
    <w:p w14:paraId="0D8CEC77" w14:textId="6D670C4F" w:rsidR="003261D1" w:rsidRDefault="003261D1" w:rsidP="006E6B4A">
      <w:pPr>
        <w:pStyle w:val="berschrift"/>
      </w:pPr>
      <w:r>
        <w:t>Hinweis</w:t>
      </w:r>
    </w:p>
    <w:p w14:paraId="25501323" w14:textId="6E736025" w:rsidR="006E6B4A" w:rsidRPr="00AA7C7B" w:rsidRDefault="00AA7C7B" w:rsidP="006E6B4A">
      <w:r w:rsidRPr="00AA7C7B">
        <w:t>Haltbarkeit: 2 Jahre, nach Anbruch 28 Tage.</w:t>
      </w:r>
    </w:p>
    <w:p w14:paraId="11DBBB80" w14:textId="77777777" w:rsidR="00446C54" w:rsidRDefault="00446C54" w:rsidP="00446C54">
      <w:pPr>
        <w:pStyle w:val="berschrift"/>
      </w:pPr>
      <w:r>
        <w:t>Gegenanzeigen</w:t>
      </w:r>
    </w:p>
    <w:p w14:paraId="35B4EA74" w14:textId="77777777" w:rsidR="00446C54" w:rsidRPr="005114F2" w:rsidRDefault="00446C54" w:rsidP="00446C54">
      <w:pPr>
        <w:pStyle w:val="Listenabsatz"/>
        <w:numPr>
          <w:ilvl w:val="0"/>
          <w:numId w:val="1"/>
        </w:numPr>
        <w:rPr>
          <w:color w:val="57595D" w:themeColor="text1"/>
        </w:rPr>
      </w:pPr>
      <w:r>
        <w:rPr>
          <w:color w:val="57595D" w:themeColor="text1"/>
        </w:rPr>
        <w:t xml:space="preserve">Gegenanzeigen sind bisher nicht </w:t>
      </w:r>
      <w:r w:rsidRPr="005114F2">
        <w:rPr>
          <w:color w:val="57595D" w:themeColor="text1"/>
        </w:rPr>
        <w:t>bekannt</w:t>
      </w:r>
    </w:p>
    <w:p w14:paraId="78932C85" w14:textId="77777777" w:rsidR="00446C54" w:rsidRPr="005114F2" w:rsidRDefault="00446C54" w:rsidP="00446C54">
      <w:pPr>
        <w:pStyle w:val="berschrift"/>
        <w:rPr>
          <w:color w:val="57595D" w:themeColor="text1"/>
        </w:rPr>
      </w:pPr>
      <w:r>
        <w:t>Schwangerschaft</w:t>
      </w:r>
      <w:r>
        <w:br/>
      </w:r>
      <w:r w:rsidRPr="005114F2">
        <w:rPr>
          <w:color w:val="57595D" w:themeColor="text1"/>
          <w:sz w:val="22"/>
          <w:szCs w:val="22"/>
        </w:rPr>
        <w:t>keine</w:t>
      </w:r>
    </w:p>
    <w:p w14:paraId="411FD5FD" w14:textId="77777777" w:rsidR="00446C54" w:rsidRPr="005114F2" w:rsidRDefault="00446C54" w:rsidP="00446C54">
      <w:pPr>
        <w:pStyle w:val="berschrift"/>
        <w:rPr>
          <w:color w:val="57595D" w:themeColor="text1"/>
        </w:rPr>
      </w:pPr>
      <w:r>
        <w:t>Stillzeit</w:t>
      </w:r>
      <w:r>
        <w:br/>
      </w:r>
      <w:r w:rsidRPr="005114F2">
        <w:rPr>
          <w:color w:val="57595D" w:themeColor="text1"/>
          <w:sz w:val="22"/>
          <w:szCs w:val="22"/>
        </w:rPr>
        <w:t>keine</w:t>
      </w:r>
    </w:p>
    <w:p w14:paraId="7D61257F" w14:textId="77777777" w:rsidR="00446C54" w:rsidRDefault="00446C54" w:rsidP="00446C54">
      <w:pPr>
        <w:pStyle w:val="berschrift"/>
      </w:pPr>
      <w:r>
        <w:t>Nebenwirkungen</w:t>
      </w:r>
    </w:p>
    <w:p w14:paraId="12E86A22" w14:textId="77777777" w:rsidR="00446C54" w:rsidRPr="005114F2" w:rsidRDefault="00446C54" w:rsidP="00446C54">
      <w:pPr>
        <w:rPr>
          <w:color w:val="57595D" w:themeColor="text1"/>
        </w:rPr>
      </w:pPr>
      <w:r w:rsidRPr="005114F2">
        <w:rPr>
          <w:color w:val="57595D" w:themeColor="text1"/>
        </w:rPr>
        <w:t>Nebenwirkungen sind bisher nicht bekannt.</w:t>
      </w:r>
    </w:p>
    <w:p w14:paraId="793C4A87" w14:textId="77777777" w:rsidR="00446C54" w:rsidRPr="005114F2" w:rsidRDefault="00446C54" w:rsidP="00446C54">
      <w:pPr>
        <w:pStyle w:val="berschrift"/>
        <w:rPr>
          <w:color w:val="57595D" w:themeColor="text1"/>
        </w:rPr>
      </w:pPr>
      <w:r>
        <w:t xml:space="preserve">Meldung des Verdachts auf Nebenwirkungen </w:t>
      </w:r>
      <w:r>
        <w:br/>
      </w:r>
      <w:r w:rsidRPr="005114F2">
        <w:rPr>
          <w:color w:val="57595D" w:themeColor="text1"/>
          <w:sz w:val="22"/>
          <w:szCs w:val="22"/>
        </w:rPr>
        <w:t>keine</w:t>
      </w:r>
    </w:p>
    <w:p w14:paraId="19041561" w14:textId="77777777" w:rsidR="00446C54" w:rsidRDefault="00446C54" w:rsidP="00446C54">
      <w:pPr>
        <w:pStyle w:val="berschrift"/>
      </w:pPr>
      <w:r>
        <w:t>Wechselwirkungen</w:t>
      </w:r>
    </w:p>
    <w:p w14:paraId="4CB4F94A" w14:textId="77777777" w:rsidR="00446C54" w:rsidRPr="005114F2" w:rsidRDefault="00446C54" w:rsidP="00446C54">
      <w:pPr>
        <w:rPr>
          <w:color w:val="57595D" w:themeColor="text1"/>
        </w:rPr>
      </w:pPr>
      <w:r w:rsidRPr="005114F2">
        <w:rPr>
          <w:color w:val="57595D" w:themeColor="text1"/>
        </w:rPr>
        <w:t>Wechselwirkungen sind bisher nicht bekannt.</w:t>
      </w:r>
    </w:p>
    <w:p w14:paraId="7CF55CBC" w14:textId="4E7D1EA1" w:rsidR="003261D1" w:rsidRDefault="003261D1" w:rsidP="006E6B4A">
      <w:pPr>
        <w:pStyle w:val="berschrift"/>
      </w:pPr>
      <w:r>
        <w:t>Warnhinweise und Vorsichtsmaßnahmen für die Anwendung</w:t>
      </w:r>
    </w:p>
    <w:p w14:paraId="1FA28E45" w14:textId="77777777" w:rsidR="00367846" w:rsidRDefault="005E423E">
      <w:pPr>
        <w:pStyle w:val="Listenabsatz"/>
        <w:numPr>
          <w:ilvl w:val="0"/>
          <w:numId w:val="1"/>
        </w:numPr>
      </w:pPr>
      <w:r>
        <w:t>Vor der Desinfektion stark verschmutzte Hände bzw. Flächen reinigen.</w:t>
      </w:r>
    </w:p>
    <w:p w14:paraId="3A38A20B" w14:textId="77777777" w:rsidR="00367846" w:rsidRDefault="005E423E">
      <w:pPr>
        <w:pStyle w:val="Listenabsatz"/>
        <w:numPr>
          <w:ilvl w:val="0"/>
          <w:numId w:val="1"/>
        </w:numPr>
      </w:pPr>
      <w:r>
        <w:t>Hände bzw. Fläche während der gesamten Einwirkzeit feucht halten und die Einwirkzeiten beachten.</w:t>
      </w:r>
    </w:p>
    <w:p w14:paraId="29AD4395" w14:textId="77777777" w:rsidR="00367846" w:rsidRDefault="005E423E">
      <w:pPr>
        <w:pStyle w:val="Listenabsatz"/>
        <w:numPr>
          <w:ilvl w:val="0"/>
          <w:numId w:val="1"/>
        </w:numPr>
      </w:pPr>
      <w:r>
        <w:t>Haltbarkeit nach Anbruch: 28 Tage.</w:t>
      </w:r>
    </w:p>
    <w:p w14:paraId="7AF79AA0" w14:textId="1FB7B19B" w:rsidR="003261D1" w:rsidRDefault="003261D1" w:rsidP="006E6B4A">
      <w:pPr>
        <w:pStyle w:val="berschrift"/>
      </w:pPr>
      <w:r>
        <w:t>Dosierung</w:t>
      </w:r>
    </w:p>
    <w:p w14:paraId="77067ED2" w14:textId="6D2AAA4E" w:rsidR="00367846" w:rsidRDefault="005E423E">
      <w:r>
        <w:t>Gebrauchsfertige Tücher</w:t>
      </w:r>
      <w:r w:rsidR="00AA4548">
        <w:t>.</w:t>
      </w:r>
      <w:r>
        <w:t xml:space="preserve"> </w:t>
      </w:r>
      <w:r w:rsidR="00AA4548">
        <w:t>B</w:t>
      </w:r>
      <w:r>
        <w:t>ei Bedarf ein weiteres Tuch verwenden.</w:t>
      </w:r>
    </w:p>
    <w:p w14:paraId="2A5B2BB3" w14:textId="77777777" w:rsidR="00446C54" w:rsidRPr="005114F2" w:rsidRDefault="00446C54" w:rsidP="00446C54">
      <w:pPr>
        <w:pStyle w:val="berschrift"/>
        <w:rPr>
          <w:color w:val="57595D" w:themeColor="text1"/>
        </w:rPr>
      </w:pPr>
      <w:r>
        <w:lastRenderedPageBreak/>
        <w:t xml:space="preserve">Erkrankungen des Gastrointestinaltraktes </w:t>
      </w:r>
      <w:r>
        <w:br/>
      </w:r>
      <w:r w:rsidRPr="005114F2">
        <w:rPr>
          <w:color w:val="57595D" w:themeColor="text1"/>
          <w:sz w:val="22"/>
          <w:szCs w:val="22"/>
        </w:rPr>
        <w:t>keine</w:t>
      </w:r>
    </w:p>
    <w:p w14:paraId="06A844E7" w14:textId="77777777" w:rsidR="00446C54" w:rsidRPr="005114F2" w:rsidRDefault="00446C54" w:rsidP="00446C54">
      <w:pPr>
        <w:pStyle w:val="berschrift"/>
        <w:rPr>
          <w:color w:val="57595D" w:themeColor="text1"/>
        </w:rPr>
      </w:pPr>
      <w:r>
        <w:t xml:space="preserve">Erkrankungen der Haut und des Unterhautzellgewebes </w:t>
      </w:r>
      <w:r>
        <w:br/>
      </w:r>
      <w:r w:rsidRPr="005114F2">
        <w:rPr>
          <w:color w:val="57595D" w:themeColor="text1"/>
          <w:sz w:val="22"/>
          <w:szCs w:val="22"/>
        </w:rPr>
        <w:t>keine</w:t>
      </w:r>
    </w:p>
    <w:p w14:paraId="0068015A" w14:textId="77777777" w:rsidR="00446C54" w:rsidRPr="005114F2" w:rsidRDefault="00446C54" w:rsidP="00446C54">
      <w:pPr>
        <w:pStyle w:val="berschrift"/>
        <w:rPr>
          <w:color w:val="57595D" w:themeColor="text1"/>
        </w:rPr>
      </w:pPr>
      <w:r>
        <w:t xml:space="preserve">Für Personen die an einer Nieren- oder Lebererkrankung leiden </w:t>
      </w:r>
      <w:r>
        <w:br/>
      </w:r>
      <w:r w:rsidRPr="005114F2">
        <w:rPr>
          <w:color w:val="57595D" w:themeColor="text1"/>
          <w:sz w:val="22"/>
          <w:szCs w:val="22"/>
        </w:rPr>
        <w:t>keine</w:t>
      </w:r>
    </w:p>
    <w:p w14:paraId="31088C59" w14:textId="77777777" w:rsidR="00446C54" w:rsidRPr="005114F2" w:rsidRDefault="00446C54" w:rsidP="00446C54">
      <w:pPr>
        <w:pStyle w:val="berschrift"/>
        <w:rPr>
          <w:color w:val="57595D" w:themeColor="text1"/>
        </w:rPr>
      </w:pPr>
      <w:r>
        <w:t xml:space="preserve">Erkrankungen des Immunsystems </w:t>
      </w:r>
      <w:r>
        <w:br/>
      </w:r>
      <w:r w:rsidRPr="005114F2">
        <w:rPr>
          <w:color w:val="57595D" w:themeColor="text1"/>
          <w:sz w:val="22"/>
          <w:szCs w:val="22"/>
        </w:rPr>
        <w:t>keine</w:t>
      </w:r>
    </w:p>
    <w:p w14:paraId="2FFD0415" w14:textId="77777777" w:rsidR="00446C54" w:rsidRPr="005114F2" w:rsidRDefault="00446C54" w:rsidP="00446C54">
      <w:pPr>
        <w:pStyle w:val="berschrift"/>
        <w:rPr>
          <w:color w:val="57595D" w:themeColor="text1"/>
        </w:rPr>
      </w:pPr>
      <w:r>
        <w:t xml:space="preserve">Erkrankungen der Atemwege, des Brustraums und Mediastinums </w:t>
      </w:r>
      <w:r>
        <w:br/>
      </w:r>
      <w:r w:rsidRPr="005114F2">
        <w:rPr>
          <w:color w:val="57595D" w:themeColor="text1"/>
          <w:sz w:val="22"/>
          <w:szCs w:val="22"/>
        </w:rPr>
        <w:t>keine</w:t>
      </w:r>
    </w:p>
    <w:p w14:paraId="6FFFC055" w14:textId="2AB485DF" w:rsidR="003261D1" w:rsidRDefault="003261D1" w:rsidP="006E6B4A">
      <w:pPr>
        <w:pStyle w:val="berschrift"/>
      </w:pPr>
      <w:r>
        <w:t>Rechtlicher Hinweis</w:t>
      </w:r>
    </w:p>
    <w:p w14:paraId="4F3C3A5F" w14:textId="77777777" w:rsidR="00367846" w:rsidRDefault="005E423E">
      <w:r>
        <w:t>Kennzeichnung gemäß CLP: Es sind zusätzlich die Kennzeichnungsvorschriften der Verordnung (EU) 528/2012 über die Bereitstellung auf dem Markt und die Verwendung von Biozidprodukten zu beachten. BAuA-Reg.-Nr.: N-120760.</w:t>
      </w:r>
    </w:p>
    <w:p w14:paraId="279E5601" w14:textId="77777777" w:rsidR="00446C54" w:rsidRPr="005114F2" w:rsidRDefault="003261D1" w:rsidP="00446C54">
      <w:pPr>
        <w:pStyle w:val="berschrift"/>
        <w:rPr>
          <w:color w:val="57595D" w:themeColor="text1"/>
        </w:rPr>
      </w:pPr>
      <w:r>
        <w:t xml:space="preserve">Rechtlicher Hinweis 2 </w:t>
      </w:r>
      <w:r>
        <w:br/>
      </w:r>
      <w:r w:rsidR="00446C54" w:rsidRPr="005114F2">
        <w:rPr>
          <w:color w:val="57595D" w:themeColor="text1"/>
          <w:sz w:val="22"/>
          <w:szCs w:val="22"/>
        </w:rPr>
        <w:t>keine</w:t>
      </w:r>
    </w:p>
    <w:p w14:paraId="2D268A13" w14:textId="005632F8" w:rsidR="006E6B4A" w:rsidRDefault="003261D1" w:rsidP="00446C54">
      <w:pPr>
        <w:pStyle w:val="berschrift"/>
      </w:pPr>
      <w:r>
        <w:t>Warnhinweise</w:t>
      </w:r>
    </w:p>
    <w:p w14:paraId="5498208F" w14:textId="77777777" w:rsidR="00367846" w:rsidRDefault="005E423E">
      <w:r>
        <w:t>Biozidprodukte vorsichtig verwenden. Vor Gebrauch stets Etikett und Produktinformationen lesen.</w:t>
      </w:r>
    </w:p>
    <w:p w14:paraId="072751D2" w14:textId="1D0C4123" w:rsidR="003261D1" w:rsidRDefault="003261D1" w:rsidP="006E6B4A">
      <w:pPr>
        <w:pStyle w:val="berschrift"/>
      </w:pPr>
      <w:r>
        <w:t>Hersteller</w:t>
      </w:r>
    </w:p>
    <w:p w14:paraId="6E096F4A" w14:textId="2679A533" w:rsidR="00A205B4" w:rsidRPr="00446C54" w:rsidRDefault="00A205B4" w:rsidP="006E6B4A">
      <w:proofErr w:type="spellStart"/>
      <w:r w:rsidRPr="00525456">
        <w:rPr>
          <w:lang w:val="sv-SE"/>
        </w:rPr>
        <w:t>MaiMed</w:t>
      </w:r>
      <w:proofErr w:type="spellEnd"/>
      <w:r w:rsidRPr="00525456">
        <w:rPr>
          <w:lang w:val="sv-SE"/>
        </w:rPr>
        <w:t xml:space="preserve"> GmbH</w:t>
      </w:r>
      <w:r w:rsidR="00525456" w:rsidRPr="00525456">
        <w:rPr>
          <w:lang w:val="sv-SE"/>
        </w:rPr>
        <w:br/>
      </w:r>
      <w:r w:rsidRPr="00525456">
        <w:rPr>
          <w:lang w:val="sv-SE"/>
        </w:rPr>
        <w:t xml:space="preserve">Robert-Koch-Str. </w:t>
      </w:r>
      <w:r w:rsidRPr="00446C54">
        <w:t>1–7</w:t>
      </w:r>
      <w:r w:rsidR="00525456" w:rsidRPr="00446C54">
        <w:br/>
      </w:r>
      <w:proofErr w:type="gramStart"/>
      <w:r w:rsidRPr="00446C54">
        <w:t>29643</w:t>
      </w:r>
      <w:proofErr w:type="gramEnd"/>
      <w:r w:rsidRPr="00446C54">
        <w:t xml:space="preserve"> Neuenkirchen</w:t>
      </w:r>
      <w:r w:rsidR="00525456" w:rsidRPr="00446C54">
        <w:br/>
      </w:r>
      <w:r w:rsidRPr="00446C54">
        <w:t>www.MaiMed.de</w:t>
      </w:r>
    </w:p>
    <w:p w14:paraId="6B25E3D1" w14:textId="20373E09" w:rsidR="00367846" w:rsidRPr="00446C54" w:rsidRDefault="003261D1" w:rsidP="00446C54">
      <w:pPr>
        <w:pStyle w:val="berschrift"/>
        <w:rPr>
          <w:color w:val="57595D" w:themeColor="text1"/>
        </w:rPr>
      </w:pPr>
      <w:r>
        <w:t xml:space="preserve">LMIV = Lebensmittelinformationsverordnung (ja/nein) </w:t>
      </w:r>
      <w:r>
        <w:br/>
      </w:r>
      <w:r w:rsidR="00446C54" w:rsidRPr="00446C54">
        <w:rPr>
          <w:color w:val="57595D" w:themeColor="text1"/>
          <w:sz w:val="22"/>
          <w:szCs w:val="22"/>
        </w:rPr>
        <w:t>keine</w:t>
      </w:r>
    </w:p>
    <w:p w14:paraId="7F6DA63D" w14:textId="49FE2637" w:rsidR="005E423E" w:rsidRDefault="003261D1" w:rsidP="00FD26D2">
      <w:pPr>
        <w:pStyle w:val="berschrift"/>
      </w:pPr>
      <w:r>
        <w:t>Hinweis für Diabetiker</w:t>
      </w:r>
    </w:p>
    <w:p w14:paraId="360CDD47" w14:textId="3AB4607A" w:rsidR="006E6B4A" w:rsidRPr="00446C54" w:rsidRDefault="00446C54" w:rsidP="006E6B4A">
      <w:pPr>
        <w:rPr>
          <w:color w:val="57595D" w:themeColor="text1"/>
        </w:rPr>
      </w:pPr>
      <w:r w:rsidRPr="00446C54">
        <w:rPr>
          <w:color w:val="57595D" w:themeColor="text1"/>
        </w:rPr>
        <w:t>keine</w:t>
      </w:r>
    </w:p>
    <w:sectPr w:rsidR="006E6B4A" w:rsidRPr="00446C54">
      <w:footerReference w:type="even" r:id="rId7"/>
      <w:footerReference w:type="default" r:id="rId8"/>
      <w:footerReference w:type="firs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40490A" w14:textId="77777777" w:rsidR="002E4114" w:rsidRDefault="002E4114" w:rsidP="00A17FD8">
      <w:pPr>
        <w:spacing w:after="0" w:line="240" w:lineRule="auto"/>
      </w:pPr>
      <w:r>
        <w:separator/>
      </w:r>
    </w:p>
  </w:endnote>
  <w:endnote w:type="continuationSeparator" w:id="0">
    <w:p w14:paraId="7063DBC9" w14:textId="77777777" w:rsidR="002E4114" w:rsidRDefault="002E4114" w:rsidP="00A17F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5560F" w14:textId="545C662E" w:rsidR="00A17FD8" w:rsidRDefault="00A17FD8">
    <w:pPr>
      <w:pStyle w:val="Fuzeile"/>
    </w:pPr>
    <w:r>
      <w:rPr>
        <w:noProof/>
      </w:rPr>
      <mc:AlternateContent>
        <mc:Choice Requires="wps">
          <w:drawing>
            <wp:anchor distT="0" distB="0" distL="0" distR="0" simplePos="0" relativeHeight="251659264" behindDoc="0" locked="0" layoutInCell="1" allowOverlap="1" wp14:anchorId="77C8D10B" wp14:editId="02B35C8F">
              <wp:simplePos x="635" y="635"/>
              <wp:positionH relativeFrom="page">
                <wp:align>left</wp:align>
              </wp:positionH>
              <wp:positionV relativeFrom="page">
                <wp:align>bottom</wp:align>
              </wp:positionV>
              <wp:extent cx="678180" cy="357505"/>
              <wp:effectExtent l="0" t="0" r="7620" b="0"/>
              <wp:wrapNone/>
              <wp:docPr id="2057063039" name="Textfeld 2"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78180" cy="357505"/>
                      </a:xfrm>
                      <a:prstGeom prst="rect">
                        <a:avLst/>
                      </a:prstGeom>
                      <a:noFill/>
                      <a:ln>
                        <a:noFill/>
                      </a:ln>
                    </wps:spPr>
                    <wps:txbx>
                      <w:txbxContent>
                        <w:p w14:paraId="0706EE57" w14:textId="2FF2369B" w:rsidR="00A17FD8" w:rsidRPr="00A17FD8" w:rsidRDefault="00A17FD8" w:rsidP="00A17FD8">
                          <w:pPr>
                            <w:spacing w:after="0"/>
                            <w:rPr>
                              <w:rFonts w:ascii="Aptos" w:eastAsia="Aptos" w:hAnsi="Aptos" w:cs="Aptos"/>
                              <w:noProof/>
                              <w:color w:val="000000"/>
                              <w:sz w:val="20"/>
                              <w:szCs w:val="20"/>
                            </w:rPr>
                          </w:pPr>
                          <w:r w:rsidRPr="00A17FD8">
                            <w:rPr>
                              <w:rFonts w:ascii="Aptos" w:eastAsia="Aptos" w:hAnsi="Aptos" w:cs="Aptos"/>
                              <w:noProof/>
                              <w:color w:val="000000"/>
                              <w:sz w:val="20"/>
                              <w:szCs w:val="20"/>
                            </w:rPr>
                            <w:t>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7C8D10B" id="_x0000_t202" coordsize="21600,21600" o:spt="202" path="m,l,21600r21600,l21600,xe">
              <v:stroke joinstyle="miter"/>
              <v:path gradientshapeok="t" o:connecttype="rect"/>
            </v:shapetype>
            <v:shape id="Textfeld 2" o:spid="_x0000_s1026" type="#_x0000_t202" alt="Internal" style="position:absolute;margin-left:0;margin-top:0;width:53.4pt;height:28.1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" filled="f" stroked="f">
              <v:textbox style="mso-fit-shape-to-text:t" inset="20pt,0,0,15pt">
                <w:txbxContent>
                  <w:p w14:paraId="0706EE57" w14:textId="2FF2369B" w:rsidR="00A17FD8" w:rsidRPr="00A17FD8" w:rsidRDefault="00A17FD8" w:rsidP="00A17FD8">
                    <w:pPr>
                      <w:spacing w:after="0"/>
                      <w:rPr>
                        <w:rFonts w:ascii="Aptos" w:eastAsia="Aptos" w:hAnsi="Aptos" w:cs="Aptos"/>
                        <w:noProof/>
                        <w:color w:val="000000"/>
                        <w:sz w:val="20"/>
                        <w:szCs w:val="20"/>
                      </w:rPr>
                    </w:pPr>
                    <w:r w:rsidRPr="00A17FD8">
                      <w:rPr>
                        <w:rFonts w:ascii="Aptos" w:eastAsia="Aptos" w:hAnsi="Aptos" w:cs="Aptos"/>
                        <w:noProof/>
                        <w:color w:val="000000"/>
                        <w:sz w:val="20"/>
                        <w:szCs w:val="20"/>
                      </w:rPr>
                      <w:t>Internal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9D97D" w14:textId="36D1CD22" w:rsidR="00A17FD8" w:rsidRDefault="00A17FD8">
    <w:pPr>
      <w:pStyle w:val="Fuzeile"/>
    </w:pPr>
    <w:r>
      <w:rPr>
        <w:noProof/>
      </w:rPr>
      <mc:AlternateContent>
        <mc:Choice Requires="wps">
          <w:drawing>
            <wp:anchor distT="0" distB="0" distL="0" distR="0" simplePos="0" relativeHeight="251660288" behindDoc="0" locked="0" layoutInCell="1" allowOverlap="1" wp14:anchorId="29B75F47" wp14:editId="054745B3">
              <wp:simplePos x="635" y="635"/>
              <wp:positionH relativeFrom="page">
                <wp:align>left</wp:align>
              </wp:positionH>
              <wp:positionV relativeFrom="page">
                <wp:align>bottom</wp:align>
              </wp:positionV>
              <wp:extent cx="678180" cy="357505"/>
              <wp:effectExtent l="0" t="0" r="7620" b="0"/>
              <wp:wrapNone/>
              <wp:docPr id="1609755267" name="Textfeld 3"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78180" cy="357505"/>
                      </a:xfrm>
                      <a:prstGeom prst="rect">
                        <a:avLst/>
                      </a:prstGeom>
                      <a:noFill/>
                      <a:ln>
                        <a:noFill/>
                      </a:ln>
                    </wps:spPr>
                    <wps:txbx>
                      <w:txbxContent>
                        <w:p w14:paraId="0B7DCB79" w14:textId="73F384D8" w:rsidR="00A17FD8" w:rsidRPr="00A17FD8" w:rsidRDefault="00A17FD8" w:rsidP="00A17FD8">
                          <w:pPr>
                            <w:spacing w:after="0"/>
                            <w:rPr>
                              <w:rFonts w:ascii="Aptos" w:eastAsia="Aptos" w:hAnsi="Aptos" w:cs="Aptos"/>
                              <w:noProof/>
                              <w:color w:val="000000"/>
                              <w:sz w:val="20"/>
                              <w:szCs w:val="20"/>
                            </w:rPr>
                          </w:pPr>
                          <w:r w:rsidRPr="00A17FD8">
                            <w:rPr>
                              <w:rFonts w:ascii="Aptos" w:eastAsia="Aptos" w:hAnsi="Aptos" w:cs="Aptos"/>
                              <w:noProof/>
                              <w:color w:val="000000"/>
                              <w:sz w:val="20"/>
                              <w:szCs w:val="20"/>
                            </w:rPr>
                            <w:t>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9B75F47" id="_x0000_t202" coordsize="21600,21600" o:spt="202" path="m,l,21600r21600,l21600,xe">
              <v:stroke joinstyle="miter"/>
              <v:path gradientshapeok="t" o:connecttype="rect"/>
            </v:shapetype>
            <v:shape id="Textfeld 3" o:spid="_x0000_s1027" type="#_x0000_t202" alt="Internal" style="position:absolute;margin-left:0;margin-top:0;width:53.4pt;height:28.1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" filled="f" stroked="f">
              <v:textbox style="mso-fit-shape-to-text:t" inset="20pt,0,0,15pt">
                <w:txbxContent>
                  <w:p w14:paraId="0B7DCB79" w14:textId="73F384D8" w:rsidR="00A17FD8" w:rsidRPr="00A17FD8" w:rsidRDefault="00A17FD8" w:rsidP="00A17FD8">
                    <w:pPr>
                      <w:spacing w:after="0"/>
                      <w:rPr>
                        <w:rFonts w:ascii="Aptos" w:eastAsia="Aptos" w:hAnsi="Aptos" w:cs="Aptos"/>
                        <w:noProof/>
                        <w:color w:val="000000"/>
                        <w:sz w:val="20"/>
                        <w:szCs w:val="20"/>
                      </w:rPr>
                    </w:pPr>
                    <w:r w:rsidRPr="00A17FD8">
                      <w:rPr>
                        <w:rFonts w:ascii="Aptos" w:eastAsia="Aptos" w:hAnsi="Aptos" w:cs="Aptos"/>
                        <w:noProof/>
                        <w:color w:val="000000"/>
                        <w:sz w:val="20"/>
                        <w:szCs w:val="20"/>
                      </w:rPr>
                      <w:t>Internal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9A435" w14:textId="4C3E9E3E" w:rsidR="00A17FD8" w:rsidRDefault="00A17FD8">
    <w:pPr>
      <w:pStyle w:val="Fuzeile"/>
    </w:pPr>
    <w:r>
      <w:rPr>
        <w:noProof/>
      </w:rPr>
      <mc:AlternateContent>
        <mc:Choice Requires="wps">
          <w:drawing>
            <wp:anchor distT="0" distB="0" distL="0" distR="0" simplePos="0" relativeHeight="251658240" behindDoc="0" locked="0" layoutInCell="1" allowOverlap="1" wp14:anchorId="194998D4" wp14:editId="3A116C2B">
              <wp:simplePos x="635" y="635"/>
              <wp:positionH relativeFrom="page">
                <wp:align>left</wp:align>
              </wp:positionH>
              <wp:positionV relativeFrom="page">
                <wp:align>bottom</wp:align>
              </wp:positionV>
              <wp:extent cx="678180" cy="357505"/>
              <wp:effectExtent l="0" t="0" r="7620" b="0"/>
              <wp:wrapNone/>
              <wp:docPr id="667018839" name="Textfeld 1"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78180" cy="357505"/>
                      </a:xfrm>
                      <a:prstGeom prst="rect">
                        <a:avLst/>
                      </a:prstGeom>
                      <a:noFill/>
                      <a:ln>
                        <a:noFill/>
                      </a:ln>
                    </wps:spPr>
                    <wps:txbx>
                      <w:txbxContent>
                        <w:p w14:paraId="2BE50E8D" w14:textId="0D6C0DD8" w:rsidR="00A17FD8" w:rsidRPr="00A17FD8" w:rsidRDefault="00A17FD8" w:rsidP="00A17FD8">
                          <w:pPr>
                            <w:spacing w:after="0"/>
                            <w:rPr>
                              <w:rFonts w:ascii="Aptos" w:eastAsia="Aptos" w:hAnsi="Aptos" w:cs="Aptos"/>
                              <w:noProof/>
                              <w:color w:val="000000"/>
                              <w:sz w:val="20"/>
                              <w:szCs w:val="20"/>
                            </w:rPr>
                          </w:pPr>
                          <w:r w:rsidRPr="00A17FD8">
                            <w:rPr>
                              <w:rFonts w:ascii="Aptos" w:eastAsia="Aptos" w:hAnsi="Aptos" w:cs="Aptos"/>
                              <w:noProof/>
                              <w:color w:val="000000"/>
                              <w:sz w:val="20"/>
                              <w:szCs w:val="20"/>
                            </w:rPr>
                            <w:t>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194998D4" id="_x0000_t202" coordsize="21600,21600" o:spt="202" path="m,l,21600r21600,l21600,xe">
              <v:stroke joinstyle="miter"/>
              <v:path gradientshapeok="t" o:connecttype="rect"/>
            </v:shapetype>
            <v:shape id="Textfeld 1" o:spid="_x0000_s1028" type="#_x0000_t202" alt="Internal" style="position:absolute;margin-left:0;margin-top:0;width:53.4pt;height:28.1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" filled="f" stroked="f">
              <v:textbox style="mso-fit-shape-to-text:t" inset="20pt,0,0,15pt">
                <w:txbxContent>
                  <w:p w14:paraId="2BE50E8D" w14:textId="0D6C0DD8" w:rsidR="00A17FD8" w:rsidRPr="00A17FD8" w:rsidRDefault="00A17FD8" w:rsidP="00A17FD8">
                    <w:pPr>
                      <w:spacing w:after="0"/>
                      <w:rPr>
                        <w:rFonts w:ascii="Aptos" w:eastAsia="Aptos" w:hAnsi="Aptos" w:cs="Aptos"/>
                        <w:noProof/>
                        <w:color w:val="000000"/>
                        <w:sz w:val="20"/>
                        <w:szCs w:val="20"/>
                      </w:rPr>
                    </w:pPr>
                    <w:r w:rsidRPr="00A17FD8">
                      <w:rPr>
                        <w:rFonts w:ascii="Aptos" w:eastAsia="Aptos" w:hAnsi="Aptos" w:cs="Aptos"/>
                        <w:noProof/>
                        <w:color w:val="000000"/>
                        <w:sz w:val="20"/>
                        <w:szCs w:val="20"/>
                      </w:rPr>
                      <w:t>Internal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EED7C2" w14:textId="77777777" w:rsidR="002E4114" w:rsidRDefault="002E4114" w:rsidP="00A17FD8">
      <w:pPr>
        <w:spacing w:after="0" w:line="240" w:lineRule="auto"/>
      </w:pPr>
      <w:r>
        <w:separator/>
      </w:r>
    </w:p>
  </w:footnote>
  <w:footnote w:type="continuationSeparator" w:id="0">
    <w:p w14:paraId="0EC4E4E4" w14:textId="77777777" w:rsidR="002E4114" w:rsidRDefault="002E4114" w:rsidP="00A17FD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B1314E"/>
    <w:multiLevelType w:val="hybridMultilevel"/>
    <w:tmpl w:val="7DC4624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4CCF709E"/>
    <w:multiLevelType w:val="hybridMultilevel"/>
    <w:tmpl w:val="4DE0ECD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5D0E38B8"/>
    <w:multiLevelType w:val="hybridMultilevel"/>
    <w:tmpl w:val="48E04FE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628271F1"/>
    <w:multiLevelType w:val="hybridMultilevel"/>
    <w:tmpl w:val="E6AE334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672371395">
    <w:abstractNumId w:val="3"/>
  </w:num>
  <w:num w:numId="2" w16cid:durableId="1822849941">
    <w:abstractNumId w:val="1"/>
  </w:num>
  <w:num w:numId="3" w16cid:durableId="119807963">
    <w:abstractNumId w:val="2"/>
  </w:num>
  <w:num w:numId="4" w16cid:durableId="8224318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61D1"/>
    <w:rsid w:val="00033B8F"/>
    <w:rsid w:val="00186DBA"/>
    <w:rsid w:val="00220AE2"/>
    <w:rsid w:val="00222A6B"/>
    <w:rsid w:val="0022759F"/>
    <w:rsid w:val="002E4114"/>
    <w:rsid w:val="00304998"/>
    <w:rsid w:val="003261D1"/>
    <w:rsid w:val="00367846"/>
    <w:rsid w:val="003D2D4D"/>
    <w:rsid w:val="00446C54"/>
    <w:rsid w:val="004F533E"/>
    <w:rsid w:val="00525456"/>
    <w:rsid w:val="00540C13"/>
    <w:rsid w:val="005A45AF"/>
    <w:rsid w:val="005B3083"/>
    <w:rsid w:val="005C2EA1"/>
    <w:rsid w:val="005E423E"/>
    <w:rsid w:val="006536B1"/>
    <w:rsid w:val="006A4450"/>
    <w:rsid w:val="006E6B4A"/>
    <w:rsid w:val="008556EA"/>
    <w:rsid w:val="008E3053"/>
    <w:rsid w:val="009B185B"/>
    <w:rsid w:val="00A17FD8"/>
    <w:rsid w:val="00A205B4"/>
    <w:rsid w:val="00A96981"/>
    <w:rsid w:val="00AA4548"/>
    <w:rsid w:val="00AA7C7B"/>
    <w:rsid w:val="00BB3A18"/>
    <w:rsid w:val="00E756D2"/>
    <w:rsid w:val="00F22944"/>
    <w:rsid w:val="00FD26D2"/>
    <w:rsid w:val="00FF10F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6211AB"/>
  <w15:chartTrackingRefBased/>
  <w15:docId w15:val="{F2725133-D04D-4420-8162-BD07107D54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rsid w:val="00FD26D2"/>
    <w:pPr>
      <w:keepNext/>
      <w:keepLines/>
      <w:spacing w:before="240" w:after="0"/>
      <w:outlineLvl w:val="0"/>
    </w:pPr>
    <w:rPr>
      <w:rFonts w:asciiTheme="majorHAnsi" w:eastAsiaTheme="majorEastAsia" w:hAnsiTheme="majorHAnsi" w:cstheme="majorBidi"/>
      <w:color w:val="2E7B27"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link w:val="TitelZchn"/>
    <w:uiPriority w:val="10"/>
    <w:rsid w:val="003261D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3261D1"/>
    <w:rPr>
      <w:rFonts w:asciiTheme="majorHAnsi" w:eastAsiaTheme="majorEastAsia" w:hAnsiTheme="majorHAnsi" w:cstheme="majorBidi"/>
      <w:spacing w:val="-10"/>
      <w:kern w:val="28"/>
      <w:sz w:val="56"/>
      <w:szCs w:val="56"/>
    </w:rPr>
  </w:style>
  <w:style w:type="paragraph" w:customStyle="1" w:styleId="berschrift">
    <w:name w:val="Überschrift"/>
    <w:basedOn w:val="berschrift1"/>
    <w:next w:val="Standard"/>
    <w:link w:val="berschriftZchn"/>
    <w:qFormat/>
    <w:rsid w:val="00304998"/>
    <w:rPr>
      <w:sz w:val="28"/>
    </w:rPr>
  </w:style>
  <w:style w:type="character" w:styleId="Kommentarzeichen">
    <w:name w:val="annotation reference"/>
    <w:basedOn w:val="Absatz-Standardschriftart"/>
    <w:uiPriority w:val="99"/>
    <w:semiHidden/>
    <w:unhideWhenUsed/>
    <w:rsid w:val="008556EA"/>
    <w:rPr>
      <w:sz w:val="16"/>
      <w:szCs w:val="16"/>
    </w:rPr>
  </w:style>
  <w:style w:type="character" w:customStyle="1" w:styleId="berschriftZchn">
    <w:name w:val="Überschrift Zchn"/>
    <w:basedOn w:val="TitelZchn"/>
    <w:link w:val="berschrift"/>
    <w:rsid w:val="00304998"/>
    <w:rPr>
      <w:rFonts w:asciiTheme="majorHAnsi" w:eastAsiaTheme="majorEastAsia" w:hAnsiTheme="majorHAnsi" w:cstheme="majorBidi"/>
      <w:color w:val="2E7B27" w:themeColor="accent1" w:themeShade="BF"/>
      <w:spacing w:val="-10"/>
      <w:kern w:val="28"/>
      <w:sz w:val="28"/>
      <w:szCs w:val="32"/>
    </w:rPr>
  </w:style>
  <w:style w:type="character" w:customStyle="1" w:styleId="berschrift1Zchn">
    <w:name w:val="Überschrift 1 Zchn"/>
    <w:basedOn w:val="Absatz-Standardschriftart"/>
    <w:link w:val="berschrift1"/>
    <w:uiPriority w:val="9"/>
    <w:rsid w:val="00FD26D2"/>
    <w:rPr>
      <w:rFonts w:asciiTheme="majorHAnsi" w:eastAsiaTheme="majorEastAsia" w:hAnsiTheme="majorHAnsi" w:cstheme="majorBidi"/>
      <w:color w:val="2E7B27" w:themeColor="accent1" w:themeShade="BF"/>
      <w:sz w:val="32"/>
      <w:szCs w:val="32"/>
    </w:rPr>
  </w:style>
  <w:style w:type="paragraph" w:styleId="Kommentartext">
    <w:name w:val="annotation text"/>
    <w:basedOn w:val="Standard"/>
    <w:link w:val="KommentartextZchn"/>
    <w:uiPriority w:val="99"/>
    <w:semiHidden/>
    <w:unhideWhenUsed/>
    <w:rsid w:val="008556EA"/>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8556EA"/>
    <w:rPr>
      <w:sz w:val="20"/>
      <w:szCs w:val="20"/>
    </w:rPr>
  </w:style>
  <w:style w:type="paragraph" w:styleId="Kommentarthema">
    <w:name w:val="annotation subject"/>
    <w:basedOn w:val="Kommentartext"/>
    <w:next w:val="Kommentartext"/>
    <w:link w:val="KommentarthemaZchn"/>
    <w:uiPriority w:val="99"/>
    <w:semiHidden/>
    <w:unhideWhenUsed/>
    <w:rsid w:val="008556EA"/>
    <w:rPr>
      <w:b/>
      <w:bCs/>
    </w:rPr>
  </w:style>
  <w:style w:type="character" w:customStyle="1" w:styleId="KommentarthemaZchn">
    <w:name w:val="Kommentarthema Zchn"/>
    <w:basedOn w:val="KommentartextZchn"/>
    <w:link w:val="Kommentarthema"/>
    <w:uiPriority w:val="99"/>
    <w:semiHidden/>
    <w:rsid w:val="008556EA"/>
    <w:rPr>
      <w:b/>
      <w:bCs/>
      <w:sz w:val="20"/>
      <w:szCs w:val="20"/>
    </w:rPr>
  </w:style>
  <w:style w:type="paragraph" w:styleId="Listenabsatz">
    <w:name w:val="List Paragraph"/>
    <w:basedOn w:val="Standard"/>
    <w:uiPriority w:val="34"/>
    <w:rsid w:val="00F22944"/>
    <w:pPr>
      <w:ind w:left="720"/>
      <w:contextualSpacing/>
    </w:pPr>
  </w:style>
  <w:style w:type="paragraph" w:styleId="Fuzeile">
    <w:name w:val="footer"/>
    <w:basedOn w:val="Standard"/>
    <w:link w:val="FuzeileZchn"/>
    <w:uiPriority w:val="99"/>
    <w:unhideWhenUsed/>
    <w:rsid w:val="00A17FD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A17F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3352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a:themeElements>
    <a:clrScheme name="LINDA AG auf Multi Business">
      <a:dk1>
        <a:srgbClr val="57595D"/>
      </a:dk1>
      <a:lt1>
        <a:srgbClr val="FFFFFF"/>
      </a:lt1>
      <a:dk2>
        <a:srgbClr val="74777C"/>
      </a:dk2>
      <a:lt2>
        <a:srgbClr val="FFFFFF"/>
      </a:lt2>
      <a:accent1>
        <a:srgbClr val="3FA535"/>
      </a:accent1>
      <a:accent2>
        <a:srgbClr val="2F7B27"/>
      </a:accent2>
      <a:accent3>
        <a:srgbClr val="9CC45E"/>
      </a:accent3>
      <a:accent4>
        <a:srgbClr val="C8DEA5"/>
      </a:accent4>
      <a:accent5>
        <a:srgbClr val="E2001A"/>
      </a:accent5>
      <a:accent6>
        <a:srgbClr val="E2001A"/>
      </a:accent6>
      <a:hlink>
        <a:srgbClr val="3FA535"/>
      </a:hlink>
      <a:folHlink>
        <a:srgbClr val="3FA535"/>
      </a:folHlink>
    </a:clrScheme>
    <a:fontScheme name="LINDA">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395</Words>
  <Characters>2860</Characters>
  <Application>Microsoft Office Word</Application>
  <DocSecurity>4</DocSecurity>
  <Lines>86</Lines>
  <Paragraphs>69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Morgenstern, Carsten</dc:creator>
  <cp:keywords/>
  <dc:description/>
  <cp:lastModifiedBy>ZEILINGER Sonja</cp:lastModifiedBy>
  <cp:revision>2</cp:revision>
  <dcterms:created xsi:type="dcterms:W3CDTF">2026-10-14T08:19:00Z</dcterms:created>
  <dcterms:modified xsi:type="dcterms:W3CDTF">2026-10-14T08:19:00Z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27c1e657,7a9c4a7f,5ff2ea83</vt:lpwstr>
  </property>
  <property fmtid="{D5CDD505-2E9C-101B-9397-08002B2CF9AE}" pid="3" name="ClassificationContentMarkingFooterFontProps">
    <vt:lpwstr>#000000,10,Aptos</vt:lpwstr>
  </property>
  <property fmtid="{D5CDD505-2E9C-101B-9397-08002B2CF9AE}" pid="4" name="ClassificationContentMarkingFooterText">
    <vt:lpwstr>Internal</vt:lpwstr>
  </property>
  <property fmtid="{D5CDD505-2E9C-101B-9397-08002B2CF9AE}" pid="5" name="MSIP_Label_1c1e7b54-0b9e-4f8f-bc07-d02df979c679_Enabled">
    <vt:lpwstr>true</vt:lpwstr>
  </property>
  <property fmtid="{D5CDD505-2E9C-101B-9397-08002B2CF9AE}" pid="6" name="MSIP_Label_1c1e7b54-0b9e-4f8f-bc07-d02df979c679_SetDate">
    <vt:lpwstr>2026-10-07T06:58:20Z</vt:lpwstr>
  </property>
  <property fmtid="{D5CDD505-2E9C-101B-9397-08002B2CF9AE}" pid="7" name="MSIP_Label_1c1e7b54-0b9e-4f8f-bc07-d02df979c679_Method">
    <vt:lpwstr>Standard</vt:lpwstr>
  </property>
  <property fmtid="{D5CDD505-2E9C-101B-9397-08002B2CF9AE}" pid="8" name="MSIP_Label_1c1e7b54-0b9e-4f8f-bc07-d02df979c679_Name">
    <vt:lpwstr>1 - Internal</vt:lpwstr>
  </property>
  <property fmtid="{D5CDD505-2E9C-101B-9397-08002B2CF9AE}" pid="9" name="MSIP_Label_1c1e7b54-0b9e-4f8f-bc07-d02df979c679_SiteId">
    <vt:lpwstr>1878a48b-63d6-4d12-a900-07d4267f6762</vt:lpwstr>
  </property>
  <property fmtid="{D5CDD505-2E9C-101B-9397-08002B2CF9AE}" pid="10" name="MSIP_Label_1c1e7b54-0b9e-4f8f-bc07-d02df979c679_ActionId">
    <vt:lpwstr>b24cd372-ea34-41e2-b75b-ffc7caffba7e</vt:lpwstr>
  </property>
  <property fmtid="{D5CDD505-2E9C-101B-9397-08002B2CF9AE}" pid="11" name="MSIP_Label_1c1e7b54-0b9e-4f8f-bc07-d02df979c679_ContentBits">
    <vt:lpwstr>2</vt:lpwstr>
  </property>
  <property fmtid="{D5CDD505-2E9C-101B-9397-08002B2CF9AE}" pid="12" name="MSIP_Label_1c1e7b54-0b9e-4f8f-bc07-d02df979c679_Tag">
    <vt:lpwstr>10, 3, 0, 1</vt:lpwstr>
  </property>
</Properties>
</file>