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78238B3" w14:textId="1BC3DA99" w:rsidR="003261D1" w:rsidRDefault="003261D1" w:rsidP="00FD26D2">
      <w:pPr>
        <w:pStyle w:val="berschrift"/>
      </w:pPr>
      <w:r>
        <w:t>Darreichungsform</w:t>
      </w:r>
    </w:p>
    <w:p w14:paraId="67750EC3" w14:textId="77777777" w:rsidR="00DF5BBF" w:rsidRDefault="00CE6EA3">
      <w:r>
        <w:t>Spray</w:t>
      </w:r>
    </w:p>
    <w:p w14:paraId="39C61A85" w14:textId="12B91D30" w:rsidR="003261D1" w:rsidRDefault="003261D1" w:rsidP="00FD26D2">
      <w:pPr>
        <w:pStyle w:val="berschrift"/>
      </w:pPr>
      <w:r>
        <w:t>Packungsgröße</w:t>
      </w:r>
    </w:p>
    <w:p w14:paraId="10C43D4A" w14:textId="77777777" w:rsidR="00DF5BBF" w:rsidRDefault="00CE6EA3">
      <w:pPr>
        <w:tabs>
          <w:tab w:val="left" w:pos="954"/>
        </w:tabs>
      </w:pPr>
      <w:r>
        <w:t>100 ml</w:t>
      </w:r>
    </w:p>
    <w:p w14:paraId="7FF444F1" w14:textId="4D7902C8" w:rsidR="003261D1" w:rsidRDefault="003261D1" w:rsidP="00FD26D2">
      <w:pPr>
        <w:pStyle w:val="berschrift"/>
      </w:pPr>
      <w:r>
        <w:t>Produktname</w:t>
      </w:r>
    </w:p>
    <w:p w14:paraId="536FE951" w14:textId="7794BEC2" w:rsidR="00DF5BBF" w:rsidRDefault="00342240">
      <w:r w:rsidRPr="00342240">
        <w:t xml:space="preserve">PARAM </w:t>
      </w:r>
      <w:proofErr w:type="spellStart"/>
      <w:r w:rsidRPr="00342240">
        <w:t>Desinfektionspray</w:t>
      </w:r>
      <w:proofErr w:type="spellEnd"/>
      <w:r w:rsidRPr="00342240">
        <w:t xml:space="preserve"> Hände &amp; Flächen </w:t>
      </w:r>
      <w:r w:rsidR="005114F2" w:rsidRPr="00342240">
        <w:t>2 in 1</w:t>
      </w:r>
    </w:p>
    <w:p w14:paraId="5905CF94" w14:textId="7EDAC459" w:rsidR="003261D1" w:rsidRDefault="003261D1" w:rsidP="00FD26D2">
      <w:pPr>
        <w:pStyle w:val="berschrift"/>
      </w:pPr>
      <w:r>
        <w:t>PZN</w:t>
      </w:r>
    </w:p>
    <w:p w14:paraId="0756B36D" w14:textId="77777777" w:rsidR="00DF5BBF" w:rsidRDefault="00CE6EA3">
      <w:r>
        <w:t>20930014</w:t>
      </w:r>
    </w:p>
    <w:p w14:paraId="4EF94EAF" w14:textId="2C38C8A8" w:rsidR="003261D1" w:rsidRDefault="003261D1" w:rsidP="008556EA">
      <w:pPr>
        <w:pStyle w:val="berschrift"/>
      </w:pPr>
      <w:r>
        <w:t>Beschreibung = Marketingtext zum Produkt</w:t>
      </w:r>
    </w:p>
    <w:p w14:paraId="242E1EC3" w14:textId="77777777" w:rsidR="00DF5BBF" w:rsidRDefault="00CE6EA3">
      <w:r>
        <w:t>Das PARAM Desinfektionsmittel für Hände &amp; Flächen ist ein gebrauchsfertiges Spray 2 in 1 mit geprüfter Wirksamkeit – für die schnelle Desinfektion von Händen und alkoholbeständigen Flächen.</w:t>
      </w:r>
    </w:p>
    <w:p w14:paraId="185EE13B" w14:textId="77777777" w:rsidR="00DF5BBF" w:rsidRDefault="00CE6EA3">
      <w:pPr>
        <w:pStyle w:val="Listenabsatz"/>
        <w:numPr>
          <w:ilvl w:val="0"/>
          <w:numId w:val="4"/>
        </w:numPr>
      </w:pPr>
      <w:r>
        <w:t>Spray 2 in 1: für Hände und Flächen</w:t>
      </w:r>
    </w:p>
    <w:p w14:paraId="0AF3455E" w14:textId="77777777" w:rsidR="00DF5BBF" w:rsidRDefault="00CE6EA3">
      <w:pPr>
        <w:pStyle w:val="Listenabsatz"/>
        <w:numPr>
          <w:ilvl w:val="0"/>
          <w:numId w:val="4"/>
        </w:numPr>
      </w:pPr>
      <w:r>
        <w:t>Wirksamkeit geprüft: wirksam gegen 99,99 % Bakterien, Pilze und ausgesuchte Viren</w:t>
      </w:r>
    </w:p>
    <w:p w14:paraId="31B8CBB7" w14:textId="77777777" w:rsidR="00DF5BBF" w:rsidRDefault="00CE6EA3">
      <w:pPr>
        <w:pStyle w:val="Listenabsatz"/>
        <w:numPr>
          <w:ilvl w:val="0"/>
          <w:numId w:val="4"/>
        </w:numPr>
      </w:pPr>
      <w:r>
        <w:t>Ideal für Unterwegs, beim Sport und auf Reisen</w:t>
      </w:r>
    </w:p>
    <w:p w14:paraId="196BF789" w14:textId="77777777" w:rsidR="00DF5BBF" w:rsidRDefault="00CE6EA3">
      <w:pPr>
        <w:pStyle w:val="Listenabsatz"/>
        <w:numPr>
          <w:ilvl w:val="0"/>
          <w:numId w:val="4"/>
        </w:numPr>
      </w:pPr>
      <w:r>
        <w:t>Parfümfrei</w:t>
      </w:r>
    </w:p>
    <w:p w14:paraId="5E040441" w14:textId="77777777" w:rsidR="00DF5BBF" w:rsidRDefault="00CE6EA3">
      <w:pPr>
        <w:pStyle w:val="Listenabsatz"/>
        <w:numPr>
          <w:ilvl w:val="0"/>
          <w:numId w:val="4"/>
        </w:numPr>
      </w:pPr>
      <w:r>
        <w:t>Keine Nachbehandlung notwendig</w:t>
      </w:r>
    </w:p>
    <w:p w14:paraId="5B242860" w14:textId="77777777" w:rsidR="00DF5BBF" w:rsidRDefault="00CE6EA3">
      <w:pPr>
        <w:pStyle w:val="Listenabsatz"/>
        <w:numPr>
          <w:ilvl w:val="0"/>
          <w:numId w:val="4"/>
        </w:numPr>
      </w:pPr>
      <w:r>
        <w:t>Praktische Größe: 100 ml</w:t>
      </w:r>
    </w:p>
    <w:p w14:paraId="4D4C7B52" w14:textId="7D6C3BA0" w:rsidR="003261D1" w:rsidRDefault="003261D1" w:rsidP="00FD26D2">
      <w:pPr>
        <w:pStyle w:val="berschrift"/>
      </w:pPr>
      <w:r>
        <w:t>Wirkstoff</w:t>
      </w:r>
    </w:p>
    <w:p w14:paraId="152DC0E5" w14:textId="77777777" w:rsidR="00DF5BBF" w:rsidRDefault="00CE6EA3">
      <w:r>
        <w:t>Ethanol, Propan-2-ol, Benzyl-C12-18-alkyldimethylammoniumchlorid (ADBAC)</w:t>
      </w:r>
    </w:p>
    <w:p w14:paraId="0A23DA46" w14:textId="7BF9F54F" w:rsidR="003261D1" w:rsidRDefault="003261D1" w:rsidP="00FD26D2">
      <w:pPr>
        <w:pStyle w:val="berschrift"/>
      </w:pPr>
      <w:r>
        <w:t>Zusammensetzung</w:t>
      </w:r>
    </w:p>
    <w:p w14:paraId="174DD8C0" w14:textId="77777777" w:rsidR="00DF5BBF" w:rsidRDefault="00CE6EA3">
      <w:r>
        <w:t>Enthält pro 100 g:</w:t>
      </w:r>
    </w:p>
    <w:p w14:paraId="20810323" w14:textId="77777777" w:rsidR="00DF5BBF" w:rsidRDefault="00CE6EA3">
      <w:pPr>
        <w:pStyle w:val="Listenabsatz"/>
        <w:numPr>
          <w:ilvl w:val="0"/>
          <w:numId w:val="1"/>
        </w:numPr>
      </w:pPr>
      <w:r>
        <w:t>55,0 g Ethanol</w:t>
      </w:r>
    </w:p>
    <w:p w14:paraId="106210D6" w14:textId="77777777" w:rsidR="00DF5BBF" w:rsidRDefault="00CE6EA3">
      <w:pPr>
        <w:pStyle w:val="Listenabsatz"/>
        <w:numPr>
          <w:ilvl w:val="0"/>
          <w:numId w:val="1"/>
        </w:numPr>
      </w:pPr>
      <w:r>
        <w:t>14,0 g Propan-2-ol</w:t>
      </w:r>
    </w:p>
    <w:p w14:paraId="1D2CA149" w14:textId="77777777" w:rsidR="00DF5BBF" w:rsidRDefault="00CE6EA3">
      <w:pPr>
        <w:pStyle w:val="Listenabsatz"/>
        <w:numPr>
          <w:ilvl w:val="0"/>
          <w:numId w:val="1"/>
        </w:numPr>
      </w:pPr>
      <w:r>
        <w:t>0,1 g Benzyl-C12-18-alkyldimethylammoniumchlorid (ADBAC)</w:t>
      </w:r>
    </w:p>
    <w:p w14:paraId="54342231" w14:textId="77777777" w:rsidR="00DF5BBF" w:rsidRDefault="00CE6EA3">
      <w:r>
        <w:t>BAUA-Nr.: N-120989</w:t>
      </w:r>
    </w:p>
    <w:p w14:paraId="1C796EF9" w14:textId="50747B25" w:rsidR="003261D1" w:rsidRDefault="003261D1" w:rsidP="00FD26D2">
      <w:pPr>
        <w:pStyle w:val="berschrift"/>
      </w:pPr>
      <w:r>
        <w:t>Sonstige Bestandteile</w:t>
      </w:r>
    </w:p>
    <w:p w14:paraId="3177C7C5" w14:textId="0AC80B7E" w:rsidR="003261D1" w:rsidRPr="005114F2" w:rsidRDefault="005114F2" w:rsidP="006E6B4A">
      <w:pPr>
        <w:rPr>
          <w:color w:val="57595D" w:themeColor="text1"/>
        </w:rPr>
      </w:pPr>
      <w:r w:rsidRPr="005114F2">
        <w:rPr>
          <w:color w:val="57595D" w:themeColor="text1"/>
        </w:rPr>
        <w:t>keine</w:t>
      </w:r>
    </w:p>
    <w:p w14:paraId="021B2340" w14:textId="140338CE" w:rsidR="003261D1" w:rsidRDefault="003261D1" w:rsidP="006E6B4A">
      <w:pPr>
        <w:pStyle w:val="berschrift"/>
      </w:pPr>
      <w:r>
        <w:t>Anwendungsgebiet/Indikation</w:t>
      </w:r>
    </w:p>
    <w:p w14:paraId="6F10A63D" w14:textId="77777777" w:rsidR="00DF5BBF" w:rsidRDefault="00CE6EA3">
      <w:r>
        <w:t>Desinfektionsmittel für Hände und alkoholbeständige Flächen. Hochwirksam gegen Bakterien (E. coli, Staphylococcus aureus, Pseudomonas aeruginosa), Viren (Influenza A, Rotavirus SA11, Herpes simplex 1) und Pilze (Candida albicans).</w:t>
      </w:r>
    </w:p>
    <w:p w14:paraId="40937020" w14:textId="1D0D2017" w:rsidR="003261D1" w:rsidRDefault="003261D1" w:rsidP="006E6B4A">
      <w:pPr>
        <w:pStyle w:val="berschrift"/>
      </w:pPr>
      <w:r>
        <w:t>Art der Anwendung</w:t>
      </w:r>
    </w:p>
    <w:p w14:paraId="6CC65656" w14:textId="77777777" w:rsidR="00DF5BBF" w:rsidRDefault="00CE6EA3">
      <w:r>
        <w:t>Sprühen Sie das Produkt auf die Hand oder die zu desinfizierende Fläche (NUR alkoholbeständige Flächen besprühen!). Verreiben Sie das Produkt gegebenenfalls leicht in den Händen, um es besser zu verteilen. Verreiben Sie den Rest gegebenenfalls in den Händen oder wischen Sie ihn entsprechend von Flächen ab.</w:t>
      </w:r>
    </w:p>
    <w:p w14:paraId="3F6FF0BB" w14:textId="2BC72908" w:rsidR="003261D1" w:rsidRDefault="003261D1" w:rsidP="006E6B4A">
      <w:pPr>
        <w:pStyle w:val="berschrift"/>
      </w:pPr>
      <w:r>
        <w:lastRenderedPageBreak/>
        <w:t>Dauer der Anwendung</w:t>
      </w:r>
    </w:p>
    <w:p w14:paraId="0FEB1BE7" w14:textId="77777777" w:rsidR="00DF5BBF" w:rsidRDefault="00CE6EA3">
      <w:r>
        <w:t>Lassen Sie das Produkt 45 Sekunden oder länger einwirken. Eine Nachbehandlung ist nicht notwendig.</w:t>
      </w:r>
    </w:p>
    <w:p w14:paraId="0D8CEC77" w14:textId="6D670C4F" w:rsidR="003261D1" w:rsidRDefault="003261D1" w:rsidP="006E6B4A">
      <w:pPr>
        <w:pStyle w:val="berschrift"/>
      </w:pPr>
      <w:r>
        <w:t>Hinweis</w:t>
      </w:r>
    </w:p>
    <w:p w14:paraId="25501323" w14:textId="31C63A7A" w:rsidR="006E6B4A" w:rsidRPr="005114F2" w:rsidRDefault="005114F2" w:rsidP="006E6B4A">
      <w:pPr>
        <w:rPr>
          <w:color w:val="57595D" w:themeColor="text1"/>
        </w:rPr>
      </w:pPr>
      <w:r w:rsidRPr="005114F2">
        <w:rPr>
          <w:color w:val="57595D" w:themeColor="text1"/>
        </w:rPr>
        <w:t>keine</w:t>
      </w:r>
    </w:p>
    <w:p w14:paraId="28024EBA" w14:textId="4F5393E6" w:rsidR="006E6B4A" w:rsidRDefault="003261D1" w:rsidP="00FD26D2">
      <w:pPr>
        <w:pStyle w:val="berschrift"/>
      </w:pPr>
      <w:r>
        <w:t>Gegenanzeigen</w:t>
      </w:r>
    </w:p>
    <w:p w14:paraId="545DC894" w14:textId="076D8712" w:rsidR="006E6B4A" w:rsidRPr="005114F2" w:rsidRDefault="005114F2" w:rsidP="00304998">
      <w:pPr>
        <w:pStyle w:val="Listenabsatz"/>
        <w:numPr>
          <w:ilvl w:val="0"/>
          <w:numId w:val="1"/>
        </w:numPr>
        <w:rPr>
          <w:color w:val="57595D" w:themeColor="text1"/>
        </w:rPr>
      </w:pPr>
      <w:r>
        <w:rPr>
          <w:color w:val="57595D" w:themeColor="text1"/>
        </w:rPr>
        <w:t xml:space="preserve">Gegenanzeigen sind bisher nicht </w:t>
      </w:r>
      <w:r w:rsidRPr="005114F2">
        <w:rPr>
          <w:color w:val="57595D" w:themeColor="text1"/>
        </w:rPr>
        <w:t>bekannt</w:t>
      </w:r>
    </w:p>
    <w:p w14:paraId="33B3695F" w14:textId="1E048096" w:rsidR="006E6B4A" w:rsidRPr="005114F2" w:rsidRDefault="003261D1" w:rsidP="005114F2">
      <w:pPr>
        <w:pStyle w:val="berschrift"/>
        <w:rPr>
          <w:color w:val="57595D" w:themeColor="text1"/>
        </w:rPr>
      </w:pPr>
      <w:r>
        <w:t>Schwangerschaft</w:t>
      </w:r>
      <w:r>
        <w:br/>
      </w:r>
      <w:r w:rsidR="005114F2" w:rsidRPr="005114F2">
        <w:rPr>
          <w:color w:val="57595D" w:themeColor="text1"/>
          <w:sz w:val="22"/>
          <w:szCs w:val="22"/>
        </w:rPr>
        <w:t>keine</w:t>
      </w:r>
    </w:p>
    <w:p w14:paraId="30C73B79" w14:textId="58C1A5DD" w:rsidR="006E6B4A" w:rsidRPr="005114F2" w:rsidRDefault="003261D1" w:rsidP="005114F2">
      <w:pPr>
        <w:pStyle w:val="berschrift"/>
        <w:rPr>
          <w:color w:val="57595D" w:themeColor="text1"/>
        </w:rPr>
      </w:pPr>
      <w:r>
        <w:t>Stillzeit</w:t>
      </w:r>
      <w:r>
        <w:br/>
      </w:r>
      <w:r w:rsidR="005114F2" w:rsidRPr="005114F2">
        <w:rPr>
          <w:color w:val="57595D" w:themeColor="text1"/>
          <w:sz w:val="22"/>
          <w:szCs w:val="22"/>
        </w:rPr>
        <w:t>keine</w:t>
      </w:r>
    </w:p>
    <w:p w14:paraId="7F2627A4" w14:textId="750FD846" w:rsidR="003261D1" w:rsidRDefault="003261D1" w:rsidP="006E6B4A">
      <w:pPr>
        <w:pStyle w:val="berschrift"/>
      </w:pPr>
      <w:r>
        <w:t>Nebenwirkungen</w:t>
      </w:r>
    </w:p>
    <w:p w14:paraId="5226F103" w14:textId="1C3A9E4C" w:rsidR="00304998" w:rsidRPr="005114F2" w:rsidRDefault="00304998" w:rsidP="00304998">
      <w:pPr>
        <w:rPr>
          <w:color w:val="57595D" w:themeColor="text1"/>
        </w:rPr>
      </w:pPr>
      <w:r w:rsidRPr="005114F2">
        <w:rPr>
          <w:color w:val="57595D" w:themeColor="text1"/>
        </w:rPr>
        <w:t>Nebenwirkungen sind bisher nicht bekannt.</w:t>
      </w:r>
    </w:p>
    <w:p w14:paraId="6071F7E5" w14:textId="40BA58B4" w:rsidR="006E6B4A" w:rsidRPr="005114F2" w:rsidRDefault="003261D1" w:rsidP="005114F2">
      <w:pPr>
        <w:pStyle w:val="berschrift"/>
        <w:rPr>
          <w:color w:val="57595D" w:themeColor="text1"/>
        </w:rPr>
      </w:pPr>
      <w:r>
        <w:t xml:space="preserve">Meldung des Verdachts auf Nebenwirkungen </w:t>
      </w:r>
      <w:r>
        <w:br/>
      </w:r>
      <w:r w:rsidR="005114F2" w:rsidRPr="005114F2">
        <w:rPr>
          <w:color w:val="57595D" w:themeColor="text1"/>
          <w:sz w:val="22"/>
          <w:szCs w:val="22"/>
        </w:rPr>
        <w:t>keine</w:t>
      </w:r>
    </w:p>
    <w:p w14:paraId="22277F01" w14:textId="220F4B14" w:rsidR="003261D1" w:rsidRDefault="003261D1" w:rsidP="006E6B4A">
      <w:pPr>
        <w:pStyle w:val="berschrift"/>
      </w:pPr>
      <w:r>
        <w:t>Wechselwirkungen</w:t>
      </w:r>
    </w:p>
    <w:p w14:paraId="3FC00ED0" w14:textId="4708AD15" w:rsidR="006E6B4A" w:rsidRPr="005114F2" w:rsidRDefault="00FF10FC" w:rsidP="006E6B4A">
      <w:pPr>
        <w:rPr>
          <w:color w:val="57595D" w:themeColor="text1"/>
        </w:rPr>
      </w:pPr>
      <w:r w:rsidRPr="005114F2">
        <w:rPr>
          <w:color w:val="57595D" w:themeColor="text1"/>
        </w:rPr>
        <w:t>Wechselwirkungen sind bisher nicht bekannt.</w:t>
      </w:r>
    </w:p>
    <w:p w14:paraId="7CF55CBC" w14:textId="4E7D1EA1" w:rsidR="003261D1" w:rsidRDefault="003261D1" w:rsidP="006E6B4A">
      <w:pPr>
        <w:pStyle w:val="berschrift"/>
      </w:pPr>
      <w:r>
        <w:t>Warnhinweise und Vorsichtsmaßnahmen für die Anwendung</w:t>
      </w:r>
    </w:p>
    <w:p w14:paraId="499A2DBB" w14:textId="77777777" w:rsidR="00DF5BBF" w:rsidRDefault="00CE6EA3">
      <w:r>
        <w:t>Bitte beachten Sie:</w:t>
      </w:r>
    </w:p>
    <w:p w14:paraId="3AD93D58" w14:textId="77777777" w:rsidR="00DF5BBF" w:rsidRDefault="00CE6EA3">
      <w:pPr>
        <w:pStyle w:val="Listenabsatz"/>
        <w:numPr>
          <w:ilvl w:val="0"/>
          <w:numId w:val="1"/>
        </w:numPr>
      </w:pPr>
      <w:r>
        <w:t>NUR alkoholbeständige Flächen besprühen!</w:t>
      </w:r>
    </w:p>
    <w:p w14:paraId="3B132DB7" w14:textId="77777777" w:rsidR="00DF5BBF" w:rsidRDefault="00CE6EA3">
      <w:pPr>
        <w:pStyle w:val="Listenabsatz"/>
        <w:numPr>
          <w:ilvl w:val="0"/>
          <w:numId w:val="1"/>
        </w:numPr>
      </w:pPr>
      <w:r>
        <w:t>Für Kinder unzugänglich aufbewahren!</w:t>
      </w:r>
    </w:p>
    <w:p w14:paraId="69CD89AA" w14:textId="77777777" w:rsidR="00DF5BBF" w:rsidRDefault="00CE6EA3">
      <w:pPr>
        <w:pStyle w:val="Listenabsatz"/>
        <w:numPr>
          <w:ilvl w:val="0"/>
          <w:numId w:val="1"/>
        </w:numPr>
      </w:pPr>
      <w:r>
        <w:t>Produktreste müssen über eine Sammelstelle für Haushaltschemikalien entsorgt werden.</w:t>
      </w:r>
    </w:p>
    <w:p w14:paraId="0D2723D7" w14:textId="77777777" w:rsidR="00DF5BBF" w:rsidRDefault="00CE6EA3">
      <w:pPr>
        <w:pStyle w:val="Listenabsatz"/>
        <w:numPr>
          <w:ilvl w:val="0"/>
          <w:numId w:val="1"/>
        </w:numPr>
      </w:pPr>
      <w:r>
        <w:t>Restentleerte Verpackungen können über das Kunststoffrecycling entsorgt werden.</w:t>
      </w:r>
    </w:p>
    <w:p w14:paraId="7AF79AA0" w14:textId="1FB7B19B" w:rsidR="003261D1" w:rsidRDefault="003261D1" w:rsidP="006E6B4A">
      <w:pPr>
        <w:pStyle w:val="berschrift"/>
      </w:pPr>
      <w:r>
        <w:t>Dosierung</w:t>
      </w:r>
    </w:p>
    <w:p w14:paraId="3196A3DB" w14:textId="77777777" w:rsidR="00DF5BBF" w:rsidRDefault="00CE6EA3">
      <w:r>
        <w:t>Die Hand, aber auch die Fläche soll bis zur leichten Befeuchtung besprüht werden. Bei einer Ausbringung von ca. 0,2 ml pro Pumpstoß benötigt man etwa 1-2 Pumpstöße pro Hand (entsprechend 0,4 ml) und ca. 16-20 Pumpstöße pro m² (entsprechend 4,0 ml). Keine Nachbehandlung notwendig.</w:t>
      </w:r>
    </w:p>
    <w:p w14:paraId="7FFFFCA6" w14:textId="70648BD2" w:rsidR="006E6B4A" w:rsidRPr="005114F2" w:rsidRDefault="003261D1" w:rsidP="005114F2">
      <w:pPr>
        <w:pStyle w:val="berschrift"/>
        <w:rPr>
          <w:color w:val="57595D" w:themeColor="text1"/>
        </w:rPr>
      </w:pPr>
      <w:r>
        <w:lastRenderedPageBreak/>
        <w:t xml:space="preserve">Erkrankungen des Gastrointestinaltraktes </w:t>
      </w:r>
      <w:r>
        <w:br/>
      </w:r>
      <w:r w:rsidR="005114F2" w:rsidRPr="005114F2">
        <w:rPr>
          <w:color w:val="57595D" w:themeColor="text1"/>
          <w:sz w:val="22"/>
          <w:szCs w:val="22"/>
        </w:rPr>
        <w:t>keine</w:t>
      </w:r>
    </w:p>
    <w:p w14:paraId="6CB3F5E1" w14:textId="6799CB19" w:rsidR="006E6B4A" w:rsidRPr="005114F2" w:rsidRDefault="003261D1" w:rsidP="005114F2">
      <w:pPr>
        <w:pStyle w:val="berschrift"/>
        <w:rPr>
          <w:color w:val="57595D" w:themeColor="text1"/>
        </w:rPr>
      </w:pPr>
      <w:r>
        <w:t xml:space="preserve">Erkrankungen der Haut und des Unterhautzellgewebes </w:t>
      </w:r>
      <w:r>
        <w:br/>
      </w:r>
      <w:r w:rsidR="005114F2" w:rsidRPr="005114F2">
        <w:rPr>
          <w:color w:val="57595D" w:themeColor="text1"/>
          <w:sz w:val="22"/>
          <w:szCs w:val="22"/>
        </w:rPr>
        <w:t>keine</w:t>
      </w:r>
    </w:p>
    <w:p w14:paraId="21FDBB3E" w14:textId="1F846D0C" w:rsidR="006E6B4A" w:rsidRPr="005114F2" w:rsidRDefault="003261D1" w:rsidP="005114F2">
      <w:pPr>
        <w:pStyle w:val="berschrift"/>
        <w:rPr>
          <w:color w:val="57595D" w:themeColor="text1"/>
        </w:rPr>
      </w:pPr>
      <w:r>
        <w:t xml:space="preserve">Für Personen die an einer Nieren- oder Lebererkrankung leiden </w:t>
      </w:r>
      <w:r>
        <w:br/>
      </w:r>
      <w:r w:rsidR="005114F2" w:rsidRPr="005114F2">
        <w:rPr>
          <w:color w:val="57595D" w:themeColor="text1"/>
          <w:sz w:val="22"/>
          <w:szCs w:val="22"/>
        </w:rPr>
        <w:t>keine</w:t>
      </w:r>
    </w:p>
    <w:p w14:paraId="6914FA41" w14:textId="212B687D" w:rsidR="006E6B4A" w:rsidRPr="005114F2" w:rsidRDefault="003261D1" w:rsidP="005114F2">
      <w:pPr>
        <w:pStyle w:val="berschrift"/>
        <w:rPr>
          <w:color w:val="57595D" w:themeColor="text1"/>
        </w:rPr>
      </w:pPr>
      <w:r>
        <w:t xml:space="preserve">Erkrankungen des Immunsystems </w:t>
      </w:r>
      <w:r>
        <w:br/>
      </w:r>
      <w:r w:rsidR="005114F2" w:rsidRPr="005114F2">
        <w:rPr>
          <w:color w:val="57595D" w:themeColor="text1"/>
          <w:sz w:val="22"/>
          <w:szCs w:val="22"/>
        </w:rPr>
        <w:t>keine</w:t>
      </w:r>
    </w:p>
    <w:p w14:paraId="3878C874" w14:textId="36DFDDC7" w:rsidR="00A205B4" w:rsidRPr="005114F2" w:rsidRDefault="003261D1" w:rsidP="005114F2">
      <w:pPr>
        <w:pStyle w:val="berschrift"/>
        <w:rPr>
          <w:color w:val="57595D" w:themeColor="text1"/>
        </w:rPr>
      </w:pPr>
      <w:r>
        <w:t xml:space="preserve">Erkrankungen der Atemwege, des Brustraums und Mediastinums </w:t>
      </w:r>
      <w:r>
        <w:br/>
      </w:r>
      <w:r w:rsidR="005114F2" w:rsidRPr="005114F2">
        <w:rPr>
          <w:color w:val="57595D" w:themeColor="text1"/>
          <w:sz w:val="22"/>
          <w:szCs w:val="22"/>
        </w:rPr>
        <w:t>keine</w:t>
      </w:r>
    </w:p>
    <w:p w14:paraId="6FFFC055" w14:textId="2AB485DF" w:rsidR="003261D1" w:rsidRDefault="003261D1" w:rsidP="006E6B4A">
      <w:pPr>
        <w:pStyle w:val="berschrift"/>
      </w:pPr>
      <w:r>
        <w:t>Rechtlicher Hinweis</w:t>
      </w:r>
    </w:p>
    <w:p w14:paraId="6A8095A0" w14:textId="0B54476B" w:rsidR="006E6B4A" w:rsidRPr="005114F2" w:rsidRDefault="005114F2" w:rsidP="006E6B4A">
      <w:pPr>
        <w:rPr>
          <w:color w:val="57595D" w:themeColor="text1"/>
        </w:rPr>
      </w:pPr>
      <w:r w:rsidRPr="005114F2">
        <w:rPr>
          <w:color w:val="57595D" w:themeColor="text1"/>
        </w:rPr>
        <w:t>keine</w:t>
      </w:r>
    </w:p>
    <w:p w14:paraId="108B8841" w14:textId="4CC1F318" w:rsidR="006E6B4A" w:rsidRPr="005114F2" w:rsidRDefault="003261D1" w:rsidP="005114F2">
      <w:pPr>
        <w:pStyle w:val="berschrift"/>
        <w:rPr>
          <w:color w:val="57595D" w:themeColor="text1"/>
        </w:rPr>
      </w:pPr>
      <w:r>
        <w:t xml:space="preserve">Rechtlicher Hinweis 2 </w:t>
      </w:r>
      <w:r>
        <w:br/>
      </w:r>
      <w:r w:rsidR="005114F2" w:rsidRPr="005114F2">
        <w:rPr>
          <w:color w:val="57595D" w:themeColor="text1"/>
          <w:sz w:val="22"/>
          <w:szCs w:val="22"/>
        </w:rPr>
        <w:t>keine</w:t>
      </w:r>
    </w:p>
    <w:p w14:paraId="2D268A13" w14:textId="05F5C88C" w:rsidR="006E6B4A" w:rsidRDefault="003261D1" w:rsidP="00A205B4">
      <w:pPr>
        <w:pStyle w:val="berschrift"/>
      </w:pPr>
      <w:r>
        <w:t>Warnhinweise</w:t>
      </w:r>
    </w:p>
    <w:p w14:paraId="66D32A23" w14:textId="3F5C3AE1" w:rsidR="00DF5BBF" w:rsidRDefault="00CE6EA3">
      <w:r>
        <w:t>GEFAHR</w:t>
      </w:r>
      <w:r w:rsidR="006D0308">
        <w:br/>
      </w:r>
      <w:proofErr w:type="gramStart"/>
      <w:r>
        <w:t>Enthält</w:t>
      </w:r>
      <w:proofErr w:type="gramEnd"/>
      <w:r>
        <w:t>: Ethanol, Propan-2-ol</w:t>
      </w:r>
      <w:r w:rsidR="006D0308">
        <w:br/>
      </w:r>
      <w:r>
        <w:t>UFI: 4VX2-R09T-300R-MMMQ</w:t>
      </w:r>
      <w:r w:rsidR="006D0308">
        <w:br/>
      </w:r>
      <w:r>
        <w:t>Für Kinder unzugänglich aufbewahren!</w:t>
      </w:r>
      <w:r w:rsidR="006D0308">
        <w:br/>
      </w:r>
      <w:r>
        <w:t>Charge/Mindesthaltbarkeit: siehe Aufdruck</w:t>
      </w:r>
    </w:p>
    <w:p w14:paraId="072751D2" w14:textId="1D0C4123" w:rsidR="003261D1" w:rsidRDefault="003261D1" w:rsidP="006E6B4A">
      <w:pPr>
        <w:pStyle w:val="berschrift"/>
      </w:pPr>
      <w:r>
        <w:t>Hersteller</w:t>
      </w:r>
    </w:p>
    <w:p w14:paraId="355792F8" w14:textId="5BA954DC" w:rsidR="00A205B4" w:rsidRDefault="00CE6EA3" w:rsidP="006D0308">
      <w:r>
        <w:t>Polycomp GmbH</w:t>
      </w:r>
      <w:r w:rsidR="006D0308">
        <w:br/>
      </w:r>
      <w:r>
        <w:t>Reeser Str. 563</w:t>
      </w:r>
      <w:r w:rsidR="006D0308">
        <w:br/>
      </w:r>
      <w:r>
        <w:t>47546 Kalkar</w:t>
      </w:r>
      <w:r w:rsidR="006D0308">
        <w:br/>
        <w:t>Tel. +49(0)2824-97140</w:t>
      </w:r>
    </w:p>
    <w:p w14:paraId="6BBFABF9" w14:textId="17AD5981" w:rsidR="00DF5BBF" w:rsidRPr="005114F2" w:rsidRDefault="003261D1" w:rsidP="005114F2">
      <w:pPr>
        <w:pStyle w:val="berschrift"/>
        <w:rPr>
          <w:color w:val="57595D" w:themeColor="text1"/>
        </w:rPr>
      </w:pPr>
      <w:r>
        <w:t xml:space="preserve">LMIV = Lebensmittelinformationsverordnung (ja/nein) </w:t>
      </w:r>
      <w:r>
        <w:br/>
      </w:r>
      <w:r w:rsidR="005114F2" w:rsidRPr="005114F2">
        <w:rPr>
          <w:color w:val="57595D" w:themeColor="text1"/>
          <w:sz w:val="22"/>
          <w:szCs w:val="22"/>
        </w:rPr>
        <w:t>keine</w:t>
      </w:r>
    </w:p>
    <w:p w14:paraId="7F6DA63D" w14:textId="49FE2637" w:rsidR="00CE6EA3" w:rsidRDefault="003261D1" w:rsidP="00FD26D2">
      <w:pPr>
        <w:pStyle w:val="berschrift"/>
      </w:pPr>
      <w:r>
        <w:t>Hinweis für Diabetiker</w:t>
      </w:r>
    </w:p>
    <w:p w14:paraId="360CDD47" w14:textId="47F0554F" w:rsidR="006E6B4A" w:rsidRPr="005114F2" w:rsidRDefault="005114F2" w:rsidP="006E6B4A">
      <w:pPr>
        <w:rPr>
          <w:color w:val="57595D" w:themeColor="text1"/>
        </w:rPr>
      </w:pPr>
      <w:r w:rsidRPr="005114F2">
        <w:rPr>
          <w:color w:val="57595D" w:themeColor="text1"/>
        </w:rPr>
        <w:t>keine</w:t>
      </w:r>
    </w:p>
    <w:sectPr w:rsidR="006E6B4A" w:rsidRPr="005114F2">
      <w:footerReference w:type="even" r:id="rId7"/>
      <w:footerReference w:type="default" r:id="rId8"/>
      <w:footerReference w:type="first" r:id="rId9"/>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4E15E7" w14:textId="77777777" w:rsidR="00BE1EC2" w:rsidRDefault="00BE1EC2" w:rsidP="00342240">
      <w:pPr>
        <w:spacing w:after="0" w:line="240" w:lineRule="auto"/>
      </w:pPr>
      <w:r>
        <w:separator/>
      </w:r>
    </w:p>
  </w:endnote>
  <w:endnote w:type="continuationSeparator" w:id="0">
    <w:p w14:paraId="4453D515" w14:textId="77777777" w:rsidR="00BE1EC2" w:rsidRDefault="00BE1EC2" w:rsidP="003422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932096" w14:textId="5D0C785D" w:rsidR="00342240" w:rsidRDefault="00342240">
    <w:pPr>
      <w:pStyle w:val="Fuzeile"/>
    </w:pPr>
    <w:r>
      <w:rPr>
        <w:noProof/>
      </w:rPr>
      <mc:AlternateContent>
        <mc:Choice Requires="wps">
          <w:drawing>
            <wp:anchor distT="0" distB="0" distL="0" distR="0" simplePos="0" relativeHeight="251659264" behindDoc="0" locked="0" layoutInCell="1" allowOverlap="1" wp14:anchorId="42726346" wp14:editId="65A4BB77">
              <wp:simplePos x="635" y="635"/>
              <wp:positionH relativeFrom="page">
                <wp:align>left</wp:align>
              </wp:positionH>
              <wp:positionV relativeFrom="page">
                <wp:align>bottom</wp:align>
              </wp:positionV>
              <wp:extent cx="678180" cy="357505"/>
              <wp:effectExtent l="0" t="0" r="7620" b="0"/>
              <wp:wrapNone/>
              <wp:docPr id="160430818" name="Textfeld 2"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7505"/>
                      </a:xfrm>
                      <a:prstGeom prst="rect">
                        <a:avLst/>
                      </a:prstGeom>
                      <a:noFill/>
                      <a:ln>
                        <a:noFill/>
                      </a:ln>
                    </wps:spPr>
                    <wps:txbx>
                      <w:txbxContent>
                        <w:p w14:paraId="3E1D0830" w14:textId="7ACFE470" w:rsidR="00342240" w:rsidRPr="00342240" w:rsidRDefault="00342240" w:rsidP="00342240">
                          <w:pPr>
                            <w:spacing w:after="0"/>
                            <w:rPr>
                              <w:rFonts w:ascii="Aptos" w:eastAsia="Aptos" w:hAnsi="Aptos" w:cs="Aptos"/>
                              <w:noProof/>
                              <w:color w:val="000000"/>
                              <w:sz w:val="20"/>
                              <w:szCs w:val="20"/>
                            </w:rPr>
                          </w:pPr>
                          <w:r w:rsidRPr="00342240">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42726346" id="_x0000_t202" coordsize="21600,21600" o:spt="202" path="m,l,21600r21600,l21600,xe">
              <v:stroke joinstyle="miter"/>
              <v:path gradientshapeok="t" o:connecttype="rect"/>
            </v:shapetype>
            <v:shape id="Textfeld 2" o:spid="_x0000_s1026" type="#_x0000_t202" alt="Internal" style="position:absolute;margin-left:0;margin-top:0;width:53.4pt;height:28.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" filled="f" stroked="f">
              <v:textbox style="mso-fit-shape-to-text:t" inset="20pt,0,0,15pt">
                <w:txbxContent>
                  <w:p w14:paraId="3E1D0830" w14:textId="7ACFE470" w:rsidR="00342240" w:rsidRPr="00342240" w:rsidRDefault="00342240" w:rsidP="00342240">
                    <w:pPr>
                      <w:spacing w:after="0"/>
                      <w:rPr>
                        <w:rFonts w:ascii="Aptos" w:eastAsia="Aptos" w:hAnsi="Aptos" w:cs="Aptos"/>
                        <w:noProof/>
                        <w:color w:val="000000"/>
                        <w:sz w:val="20"/>
                        <w:szCs w:val="20"/>
                      </w:rPr>
                    </w:pPr>
                    <w:r w:rsidRPr="00342240">
                      <w:rPr>
                        <w:rFonts w:ascii="Aptos" w:eastAsia="Aptos" w:hAnsi="Aptos" w:cs="Aptos"/>
                        <w:noProof/>
                        <w:color w:val="000000"/>
                        <w:sz w:val="20"/>
                        <w:szCs w:val="20"/>
                      </w:rPr>
                      <w:t>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F55E5" w14:textId="7838404E" w:rsidR="00342240" w:rsidRDefault="00342240">
    <w:pPr>
      <w:pStyle w:val="Fuzeile"/>
    </w:pPr>
    <w:r>
      <w:rPr>
        <w:noProof/>
      </w:rPr>
      <mc:AlternateContent>
        <mc:Choice Requires="wps">
          <w:drawing>
            <wp:anchor distT="0" distB="0" distL="0" distR="0" simplePos="0" relativeHeight="251660288" behindDoc="0" locked="0" layoutInCell="1" allowOverlap="1" wp14:anchorId="2107F7BC" wp14:editId="47DDD5E9">
              <wp:simplePos x="635" y="635"/>
              <wp:positionH relativeFrom="page">
                <wp:align>left</wp:align>
              </wp:positionH>
              <wp:positionV relativeFrom="page">
                <wp:align>bottom</wp:align>
              </wp:positionV>
              <wp:extent cx="678180" cy="357505"/>
              <wp:effectExtent l="0" t="0" r="7620" b="0"/>
              <wp:wrapNone/>
              <wp:docPr id="1480057896" name="Textfeld 3"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7505"/>
                      </a:xfrm>
                      <a:prstGeom prst="rect">
                        <a:avLst/>
                      </a:prstGeom>
                      <a:noFill/>
                      <a:ln>
                        <a:noFill/>
                      </a:ln>
                    </wps:spPr>
                    <wps:txbx>
                      <w:txbxContent>
                        <w:p w14:paraId="13E33BA8" w14:textId="0F7448FE" w:rsidR="00342240" w:rsidRPr="00342240" w:rsidRDefault="00342240" w:rsidP="00342240">
                          <w:pPr>
                            <w:spacing w:after="0"/>
                            <w:rPr>
                              <w:rFonts w:ascii="Aptos" w:eastAsia="Aptos" w:hAnsi="Aptos" w:cs="Aptos"/>
                              <w:noProof/>
                              <w:color w:val="000000"/>
                              <w:sz w:val="20"/>
                              <w:szCs w:val="20"/>
                            </w:rPr>
                          </w:pPr>
                          <w:r w:rsidRPr="00342240">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2107F7BC" id="_x0000_t202" coordsize="21600,21600" o:spt="202" path="m,l,21600r21600,l21600,xe">
              <v:stroke joinstyle="miter"/>
              <v:path gradientshapeok="t" o:connecttype="rect"/>
            </v:shapetype>
            <v:shape id="Textfeld 3" o:spid="_x0000_s1027" type="#_x0000_t202" alt="Internal" style="position:absolute;margin-left:0;margin-top:0;width:53.4pt;height:28.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" filled="f" stroked="f">
              <v:textbox style="mso-fit-shape-to-text:t" inset="20pt,0,0,15pt">
                <w:txbxContent>
                  <w:p w14:paraId="13E33BA8" w14:textId="0F7448FE" w:rsidR="00342240" w:rsidRPr="00342240" w:rsidRDefault="00342240" w:rsidP="00342240">
                    <w:pPr>
                      <w:spacing w:after="0"/>
                      <w:rPr>
                        <w:rFonts w:ascii="Aptos" w:eastAsia="Aptos" w:hAnsi="Aptos" w:cs="Aptos"/>
                        <w:noProof/>
                        <w:color w:val="000000"/>
                        <w:sz w:val="20"/>
                        <w:szCs w:val="20"/>
                      </w:rPr>
                    </w:pPr>
                    <w:r w:rsidRPr="00342240">
                      <w:rPr>
                        <w:rFonts w:ascii="Aptos" w:eastAsia="Aptos" w:hAnsi="Aptos" w:cs="Aptos"/>
                        <w:noProof/>
                        <w:color w:val="000000"/>
                        <w:sz w:val="20"/>
                        <w:szCs w:val="20"/>
                      </w:rPr>
                      <w:t>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646939" w14:textId="55DFF50A" w:rsidR="00342240" w:rsidRDefault="00342240">
    <w:pPr>
      <w:pStyle w:val="Fuzeile"/>
    </w:pPr>
    <w:r>
      <w:rPr>
        <w:noProof/>
      </w:rPr>
      <mc:AlternateContent>
        <mc:Choice Requires="wps">
          <w:drawing>
            <wp:anchor distT="0" distB="0" distL="0" distR="0" simplePos="0" relativeHeight="251658240" behindDoc="0" locked="0" layoutInCell="1" allowOverlap="1" wp14:anchorId="0BC87706" wp14:editId="690C58D4">
              <wp:simplePos x="635" y="635"/>
              <wp:positionH relativeFrom="page">
                <wp:align>left</wp:align>
              </wp:positionH>
              <wp:positionV relativeFrom="page">
                <wp:align>bottom</wp:align>
              </wp:positionV>
              <wp:extent cx="678180" cy="357505"/>
              <wp:effectExtent l="0" t="0" r="7620" b="0"/>
              <wp:wrapNone/>
              <wp:docPr id="1110727842" name="Textfeld 1" descr="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78180" cy="357505"/>
                      </a:xfrm>
                      <a:prstGeom prst="rect">
                        <a:avLst/>
                      </a:prstGeom>
                      <a:noFill/>
                      <a:ln>
                        <a:noFill/>
                      </a:ln>
                    </wps:spPr>
                    <wps:txbx>
                      <w:txbxContent>
                        <w:p w14:paraId="3E13E538" w14:textId="1C4D6226" w:rsidR="00342240" w:rsidRPr="00342240" w:rsidRDefault="00342240" w:rsidP="00342240">
                          <w:pPr>
                            <w:spacing w:after="0"/>
                            <w:rPr>
                              <w:rFonts w:ascii="Aptos" w:eastAsia="Aptos" w:hAnsi="Aptos" w:cs="Aptos"/>
                              <w:noProof/>
                              <w:color w:val="000000"/>
                              <w:sz w:val="20"/>
                              <w:szCs w:val="20"/>
                            </w:rPr>
                          </w:pPr>
                          <w:r w:rsidRPr="00342240">
                            <w:rPr>
                              <w:rFonts w:ascii="Aptos" w:eastAsia="Aptos" w:hAnsi="Aptos" w:cs="Aptos"/>
                              <w:noProof/>
                              <w:color w:val="000000"/>
                              <w:sz w:val="20"/>
                              <w:szCs w:val="20"/>
                            </w:rPr>
                            <w:t>Internal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BC87706" id="_x0000_t202" coordsize="21600,21600" o:spt="202" path="m,l,21600r21600,l21600,xe">
              <v:stroke joinstyle="miter"/>
              <v:path gradientshapeok="t" o:connecttype="rect"/>
            </v:shapetype>
            <v:shape id="Textfeld 1" o:spid="_x0000_s1028" type="#_x0000_t202" alt="Internal" style="position:absolute;margin-left:0;margin-top:0;width:53.4pt;height:28.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" filled="f" stroked="f">
              <v:textbox style="mso-fit-shape-to-text:t" inset="20pt,0,0,15pt">
                <w:txbxContent>
                  <w:p w14:paraId="3E13E538" w14:textId="1C4D6226" w:rsidR="00342240" w:rsidRPr="00342240" w:rsidRDefault="00342240" w:rsidP="00342240">
                    <w:pPr>
                      <w:spacing w:after="0"/>
                      <w:rPr>
                        <w:rFonts w:ascii="Aptos" w:eastAsia="Aptos" w:hAnsi="Aptos" w:cs="Aptos"/>
                        <w:noProof/>
                        <w:color w:val="000000"/>
                        <w:sz w:val="20"/>
                        <w:szCs w:val="20"/>
                      </w:rPr>
                    </w:pPr>
                    <w:r w:rsidRPr="00342240">
                      <w:rPr>
                        <w:rFonts w:ascii="Aptos" w:eastAsia="Aptos" w:hAnsi="Aptos" w:cs="Aptos"/>
                        <w:noProof/>
                        <w:color w:val="000000"/>
                        <w:sz w:val="20"/>
                        <w:szCs w:val="20"/>
                      </w:rPr>
                      <w:t>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6FFADA" w14:textId="77777777" w:rsidR="00BE1EC2" w:rsidRDefault="00BE1EC2" w:rsidP="00342240">
      <w:pPr>
        <w:spacing w:after="0" w:line="240" w:lineRule="auto"/>
      </w:pPr>
      <w:r>
        <w:separator/>
      </w:r>
    </w:p>
  </w:footnote>
  <w:footnote w:type="continuationSeparator" w:id="0">
    <w:p w14:paraId="19AC7A38" w14:textId="77777777" w:rsidR="00BE1EC2" w:rsidRDefault="00BE1EC2" w:rsidP="0034224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B1314E"/>
    <w:multiLevelType w:val="hybridMultilevel"/>
    <w:tmpl w:val="7DC4624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4CCF709E"/>
    <w:multiLevelType w:val="hybridMultilevel"/>
    <w:tmpl w:val="4DE0ECD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5D0E38B8"/>
    <w:multiLevelType w:val="hybridMultilevel"/>
    <w:tmpl w:val="48E04FEA"/>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628271F1"/>
    <w:multiLevelType w:val="hybridMultilevel"/>
    <w:tmpl w:val="E6AE334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524905408">
    <w:abstractNumId w:val="3"/>
  </w:num>
  <w:num w:numId="2" w16cid:durableId="1742367121">
    <w:abstractNumId w:val="1"/>
  </w:num>
  <w:num w:numId="3" w16cid:durableId="1269969800">
    <w:abstractNumId w:val="2"/>
  </w:num>
  <w:num w:numId="4" w16cid:durableId="5297200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1D1"/>
    <w:rsid w:val="00033B8F"/>
    <w:rsid w:val="00304998"/>
    <w:rsid w:val="003261D1"/>
    <w:rsid w:val="00342240"/>
    <w:rsid w:val="003D2D4D"/>
    <w:rsid w:val="005114F2"/>
    <w:rsid w:val="005A45AF"/>
    <w:rsid w:val="005C2EA1"/>
    <w:rsid w:val="006A4450"/>
    <w:rsid w:val="006D0308"/>
    <w:rsid w:val="006E6B4A"/>
    <w:rsid w:val="00712EFE"/>
    <w:rsid w:val="008556EA"/>
    <w:rsid w:val="009B185B"/>
    <w:rsid w:val="00A205B4"/>
    <w:rsid w:val="00A87C74"/>
    <w:rsid w:val="00BB3A18"/>
    <w:rsid w:val="00BE1EC2"/>
    <w:rsid w:val="00CE6EA3"/>
    <w:rsid w:val="00DF5BBF"/>
    <w:rsid w:val="00F22944"/>
    <w:rsid w:val="00FD26D2"/>
    <w:rsid w:val="00FF10FC"/>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211AB"/>
  <w15:chartTrackingRefBased/>
  <w15:docId w15:val="{F2725133-D04D-4420-8162-BD07107D54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paragraph" w:styleId="berschrift1">
    <w:name w:val="heading 1"/>
    <w:basedOn w:val="Standard"/>
    <w:next w:val="Standard"/>
    <w:link w:val="berschrift1Zchn"/>
    <w:uiPriority w:val="9"/>
    <w:rsid w:val="00FD26D2"/>
    <w:pPr>
      <w:keepNext/>
      <w:keepLines/>
      <w:spacing w:before="240" w:after="0"/>
      <w:outlineLvl w:val="0"/>
    </w:pPr>
    <w:rPr>
      <w:rFonts w:asciiTheme="majorHAnsi" w:eastAsiaTheme="majorEastAsia" w:hAnsiTheme="majorHAnsi" w:cstheme="majorBidi"/>
      <w:color w:val="2E7B27" w:themeColor="accent1" w:themeShade="BF"/>
      <w:sz w:val="32"/>
      <w:szCs w:val="32"/>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itel">
    <w:name w:val="Title"/>
    <w:basedOn w:val="Standard"/>
    <w:next w:val="Standard"/>
    <w:link w:val="TitelZchn"/>
    <w:uiPriority w:val="10"/>
    <w:rsid w:val="003261D1"/>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elZchn">
    <w:name w:val="Titel Zchn"/>
    <w:basedOn w:val="Absatz-Standardschriftart"/>
    <w:link w:val="Titel"/>
    <w:uiPriority w:val="10"/>
    <w:rsid w:val="003261D1"/>
    <w:rPr>
      <w:rFonts w:asciiTheme="majorHAnsi" w:eastAsiaTheme="majorEastAsia" w:hAnsiTheme="majorHAnsi" w:cstheme="majorBidi"/>
      <w:spacing w:val="-10"/>
      <w:kern w:val="28"/>
      <w:sz w:val="56"/>
      <w:szCs w:val="56"/>
    </w:rPr>
  </w:style>
  <w:style w:type="paragraph" w:customStyle="1" w:styleId="berschrift">
    <w:name w:val="Überschrift"/>
    <w:basedOn w:val="berschrift1"/>
    <w:next w:val="Standard"/>
    <w:link w:val="berschriftZchn"/>
    <w:qFormat/>
    <w:rsid w:val="00304998"/>
    <w:rPr>
      <w:sz w:val="28"/>
    </w:rPr>
  </w:style>
  <w:style w:type="character" w:styleId="Kommentarzeichen">
    <w:name w:val="annotation reference"/>
    <w:basedOn w:val="Absatz-Standardschriftart"/>
    <w:uiPriority w:val="99"/>
    <w:semiHidden/>
    <w:unhideWhenUsed/>
    <w:rsid w:val="008556EA"/>
    <w:rPr>
      <w:sz w:val="16"/>
      <w:szCs w:val="16"/>
    </w:rPr>
  </w:style>
  <w:style w:type="character" w:customStyle="1" w:styleId="berschriftZchn">
    <w:name w:val="Überschrift Zchn"/>
    <w:basedOn w:val="TitelZchn"/>
    <w:link w:val="berschrift"/>
    <w:rsid w:val="00304998"/>
    <w:rPr>
      <w:rFonts w:asciiTheme="majorHAnsi" w:eastAsiaTheme="majorEastAsia" w:hAnsiTheme="majorHAnsi" w:cstheme="majorBidi"/>
      <w:color w:val="2E7B27" w:themeColor="accent1" w:themeShade="BF"/>
      <w:spacing w:val="-10"/>
      <w:kern w:val="28"/>
      <w:sz w:val="28"/>
      <w:szCs w:val="32"/>
    </w:rPr>
  </w:style>
  <w:style w:type="character" w:customStyle="1" w:styleId="berschrift1Zchn">
    <w:name w:val="Überschrift 1 Zchn"/>
    <w:basedOn w:val="Absatz-Standardschriftart"/>
    <w:link w:val="berschrift1"/>
    <w:uiPriority w:val="9"/>
    <w:rsid w:val="00FD26D2"/>
    <w:rPr>
      <w:rFonts w:asciiTheme="majorHAnsi" w:eastAsiaTheme="majorEastAsia" w:hAnsiTheme="majorHAnsi" w:cstheme="majorBidi"/>
      <w:color w:val="2E7B27" w:themeColor="accent1" w:themeShade="BF"/>
      <w:sz w:val="32"/>
      <w:szCs w:val="32"/>
    </w:rPr>
  </w:style>
  <w:style w:type="paragraph" w:styleId="Kommentartext">
    <w:name w:val="annotation text"/>
    <w:basedOn w:val="Standard"/>
    <w:link w:val="KommentartextZchn"/>
    <w:uiPriority w:val="99"/>
    <w:semiHidden/>
    <w:unhideWhenUsed/>
    <w:rsid w:val="008556EA"/>
    <w:pPr>
      <w:spacing w:line="240" w:lineRule="auto"/>
    </w:pPr>
    <w:rPr>
      <w:sz w:val="20"/>
      <w:szCs w:val="20"/>
    </w:rPr>
  </w:style>
  <w:style w:type="character" w:customStyle="1" w:styleId="KommentartextZchn">
    <w:name w:val="Kommentartext Zchn"/>
    <w:basedOn w:val="Absatz-Standardschriftart"/>
    <w:link w:val="Kommentartext"/>
    <w:uiPriority w:val="99"/>
    <w:semiHidden/>
    <w:rsid w:val="008556EA"/>
    <w:rPr>
      <w:sz w:val="20"/>
      <w:szCs w:val="20"/>
    </w:rPr>
  </w:style>
  <w:style w:type="paragraph" w:styleId="Kommentarthema">
    <w:name w:val="annotation subject"/>
    <w:basedOn w:val="Kommentartext"/>
    <w:next w:val="Kommentartext"/>
    <w:link w:val="KommentarthemaZchn"/>
    <w:uiPriority w:val="99"/>
    <w:semiHidden/>
    <w:unhideWhenUsed/>
    <w:rsid w:val="008556EA"/>
    <w:rPr>
      <w:b/>
      <w:bCs/>
    </w:rPr>
  </w:style>
  <w:style w:type="character" w:customStyle="1" w:styleId="KommentarthemaZchn">
    <w:name w:val="Kommentarthema Zchn"/>
    <w:basedOn w:val="KommentartextZchn"/>
    <w:link w:val="Kommentarthema"/>
    <w:uiPriority w:val="99"/>
    <w:semiHidden/>
    <w:rsid w:val="008556EA"/>
    <w:rPr>
      <w:b/>
      <w:bCs/>
      <w:sz w:val="20"/>
      <w:szCs w:val="20"/>
    </w:rPr>
  </w:style>
  <w:style w:type="paragraph" w:styleId="Listenabsatz">
    <w:name w:val="List Paragraph"/>
    <w:basedOn w:val="Standard"/>
    <w:uiPriority w:val="34"/>
    <w:rsid w:val="00F22944"/>
    <w:pPr>
      <w:ind w:left="720"/>
      <w:contextualSpacing/>
    </w:pPr>
  </w:style>
  <w:style w:type="paragraph" w:styleId="Fuzeile">
    <w:name w:val="footer"/>
    <w:basedOn w:val="Standard"/>
    <w:link w:val="FuzeileZchn"/>
    <w:uiPriority w:val="99"/>
    <w:unhideWhenUsed/>
    <w:rsid w:val="00342240"/>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34224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333525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a:themeElements>
    <a:clrScheme name="LINDA AG auf Multi Business">
      <a:dk1>
        <a:srgbClr val="57595D"/>
      </a:dk1>
      <a:lt1>
        <a:srgbClr val="FFFFFF"/>
      </a:lt1>
      <a:dk2>
        <a:srgbClr val="74777C"/>
      </a:dk2>
      <a:lt2>
        <a:srgbClr val="FFFFFF"/>
      </a:lt2>
      <a:accent1>
        <a:srgbClr val="3FA535"/>
      </a:accent1>
      <a:accent2>
        <a:srgbClr val="2F7B27"/>
      </a:accent2>
      <a:accent3>
        <a:srgbClr val="9CC45E"/>
      </a:accent3>
      <a:accent4>
        <a:srgbClr val="C8DEA5"/>
      </a:accent4>
      <a:accent5>
        <a:srgbClr val="E2001A"/>
      </a:accent5>
      <a:accent6>
        <a:srgbClr val="E2001A"/>
      </a:accent6>
      <a:hlink>
        <a:srgbClr val="3FA535"/>
      </a:hlink>
      <a:folHlink>
        <a:srgbClr val="3FA535"/>
      </a:folHlink>
    </a:clrScheme>
    <a:fontScheme name="LINDA">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392</Words>
  <Characters>2678</Characters>
  <Application>Microsoft Office Word</Application>
  <DocSecurity>4</DocSecurity>
  <Lines>83</Lines>
  <Paragraphs>66</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3004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Morgenstern, Carsten</dc:creator>
  <cp:keywords/>
  <dc:description/>
  <cp:lastModifiedBy>ZEILINGER Sonja</cp:lastModifiedBy>
  <cp:revision>2</cp:revision>
  <dcterms:created xsi:type="dcterms:W3CDTF">2026-10-14T08:12:00Z</dcterms:created>
  <dcterms:modified xsi:type="dcterms:W3CDTF">2026-10-14T08:12:00Z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42345ca2,98ffae2,5837e428</vt:lpwstr>
  </property>
  <property fmtid="{D5CDD505-2E9C-101B-9397-08002B2CF9AE}" pid="3" name="ClassificationContentMarkingFooterFontProps">
    <vt:lpwstr>#000000,10,Aptos</vt:lpwstr>
  </property>
  <property fmtid="{D5CDD505-2E9C-101B-9397-08002B2CF9AE}" pid="4" name="ClassificationContentMarkingFooterText">
    <vt:lpwstr>Internal</vt:lpwstr>
  </property>
  <property fmtid="{D5CDD505-2E9C-101B-9397-08002B2CF9AE}" pid="5" name="MSIP_Label_1c1e7b54-0b9e-4f8f-bc07-d02df979c679_Enabled">
    <vt:lpwstr>true</vt:lpwstr>
  </property>
  <property fmtid="{D5CDD505-2E9C-101B-9397-08002B2CF9AE}" pid="6" name="MSIP_Label_1c1e7b54-0b9e-4f8f-bc07-d02df979c679_SetDate">
    <vt:lpwstr>2026-10-07T08:26:12Z</vt:lpwstr>
  </property>
  <property fmtid="{D5CDD505-2E9C-101B-9397-08002B2CF9AE}" pid="7" name="MSIP_Label_1c1e7b54-0b9e-4f8f-bc07-d02df979c679_Method">
    <vt:lpwstr>Standard</vt:lpwstr>
  </property>
  <property fmtid="{D5CDD505-2E9C-101B-9397-08002B2CF9AE}" pid="8" name="MSIP_Label_1c1e7b54-0b9e-4f8f-bc07-d02df979c679_Name">
    <vt:lpwstr>1 - Internal</vt:lpwstr>
  </property>
  <property fmtid="{D5CDD505-2E9C-101B-9397-08002B2CF9AE}" pid="9" name="MSIP_Label_1c1e7b54-0b9e-4f8f-bc07-d02df979c679_SiteId">
    <vt:lpwstr>1878a48b-63d6-4d12-a900-07d4267f6762</vt:lpwstr>
  </property>
  <property fmtid="{D5CDD505-2E9C-101B-9397-08002B2CF9AE}" pid="10" name="MSIP_Label_1c1e7b54-0b9e-4f8f-bc07-d02df979c679_ActionId">
    <vt:lpwstr>2fa776c4-7910-4e29-a245-b2ebb6e76308</vt:lpwstr>
  </property>
  <property fmtid="{D5CDD505-2E9C-101B-9397-08002B2CF9AE}" pid="11" name="MSIP_Label_1c1e7b54-0b9e-4f8f-bc07-d02df979c679_ContentBits">
    <vt:lpwstr>2</vt:lpwstr>
  </property>
  <property fmtid="{D5CDD505-2E9C-101B-9397-08002B2CF9AE}" pid="12" name="MSIP_Label_1c1e7b54-0b9e-4f8f-bc07-d02df979c679_Tag">
    <vt:lpwstr>10, 3, 0, 1</vt:lpwstr>
  </property>
</Properties>
</file>